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CA" w:rsidRPr="00DD1665" w:rsidRDefault="005255CA" w:rsidP="00D73C97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DD166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255CA" w:rsidRPr="00DD1665" w:rsidRDefault="005255CA" w:rsidP="00D73C97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DD166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255CA" w:rsidRPr="00DD1665" w:rsidRDefault="005255CA" w:rsidP="00D73C97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proofErr w:type="gramStart"/>
      <w:r w:rsidRPr="00DD166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D1665"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</w:p>
    <w:p w:rsidR="009D0BD7" w:rsidRDefault="00FA65D1" w:rsidP="00FA65D1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proofErr w:type="gramStart"/>
      <w:r w:rsidRPr="00AA26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30.09.2013  </w:t>
      </w:r>
      <w:r w:rsidRPr="00AA26A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1383  (в ред. от 26.02.2014 №233, от 17.04.2014 №485, от 30.06.2014 №764, от 26.08.2014 №1074, от 29.09.2014 №1294, от 30.09.2014 №1315,  от 29.10.2014 №1486, в ред. от 29.12.2014 №1904, в ред. от 04.03.2015 №335, в ред. </w:t>
      </w:r>
      <w:r w:rsidR="005255CA" w:rsidRPr="00DD16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5CA">
        <w:rPr>
          <w:rFonts w:ascii="Times New Roman" w:hAnsi="Times New Roman" w:cs="Times New Roman"/>
          <w:sz w:val="28"/>
          <w:szCs w:val="28"/>
        </w:rPr>
        <w:t xml:space="preserve"> 08.04.2015  </w:t>
      </w:r>
      <w:r w:rsidR="005255CA" w:rsidRPr="00DD1665">
        <w:rPr>
          <w:rFonts w:ascii="Times New Roman" w:hAnsi="Times New Roman" w:cs="Times New Roman"/>
          <w:sz w:val="28"/>
          <w:szCs w:val="28"/>
        </w:rPr>
        <w:t xml:space="preserve">№ </w:t>
      </w:r>
      <w:r w:rsidR="005255CA">
        <w:rPr>
          <w:rFonts w:ascii="Times New Roman" w:hAnsi="Times New Roman" w:cs="Times New Roman"/>
          <w:sz w:val="28"/>
          <w:szCs w:val="28"/>
        </w:rPr>
        <w:t>548</w:t>
      </w:r>
      <w:r w:rsidR="001E1401">
        <w:rPr>
          <w:rFonts w:ascii="Times New Roman" w:hAnsi="Times New Roman" w:cs="Times New Roman"/>
          <w:sz w:val="28"/>
          <w:szCs w:val="28"/>
        </w:rPr>
        <w:t>, в ред. от 01.06.2015 №866</w:t>
      </w:r>
      <w:r w:rsidR="00A349C0">
        <w:rPr>
          <w:rFonts w:ascii="Times New Roman" w:hAnsi="Times New Roman" w:cs="Times New Roman"/>
          <w:sz w:val="28"/>
          <w:szCs w:val="28"/>
        </w:rPr>
        <w:t>, в ред. от 26.06.2015 № 1028</w:t>
      </w:r>
      <w:r w:rsidR="00EF3647">
        <w:rPr>
          <w:rFonts w:ascii="Times New Roman" w:hAnsi="Times New Roman" w:cs="Times New Roman"/>
          <w:sz w:val="28"/>
          <w:szCs w:val="28"/>
        </w:rPr>
        <w:t>, в ред. от 06.08.2015 №1268</w:t>
      </w:r>
      <w:r w:rsidR="00FB17C4">
        <w:rPr>
          <w:rFonts w:ascii="Times New Roman" w:hAnsi="Times New Roman" w:cs="Times New Roman"/>
          <w:sz w:val="28"/>
          <w:szCs w:val="28"/>
        </w:rPr>
        <w:t>, в ред. от 16.10.2015</w:t>
      </w:r>
      <w:proofErr w:type="gramEnd"/>
      <w:r w:rsidR="00FB17C4">
        <w:rPr>
          <w:rFonts w:ascii="Times New Roman" w:hAnsi="Times New Roman" w:cs="Times New Roman"/>
          <w:sz w:val="28"/>
          <w:szCs w:val="28"/>
        </w:rPr>
        <w:t xml:space="preserve"> № 1702</w:t>
      </w:r>
      <w:r w:rsidR="009B1836">
        <w:rPr>
          <w:rFonts w:ascii="Times New Roman" w:hAnsi="Times New Roman" w:cs="Times New Roman"/>
          <w:sz w:val="28"/>
          <w:szCs w:val="28"/>
        </w:rPr>
        <w:t>,  в ред.  от 30.11.2015   № 1968</w:t>
      </w:r>
      <w:r w:rsidR="00D95B66">
        <w:rPr>
          <w:rFonts w:ascii="Times New Roman" w:hAnsi="Times New Roman" w:cs="Times New Roman"/>
          <w:sz w:val="28"/>
          <w:szCs w:val="28"/>
        </w:rPr>
        <w:t>, 25.12.2015 № 2187</w:t>
      </w:r>
      <w:r w:rsidR="009D0BD7">
        <w:rPr>
          <w:rFonts w:ascii="Times New Roman" w:hAnsi="Times New Roman" w:cs="Times New Roman"/>
          <w:sz w:val="28"/>
          <w:szCs w:val="28"/>
        </w:rPr>
        <w:t>,</w:t>
      </w:r>
    </w:p>
    <w:p w:rsidR="005255CA" w:rsidRPr="00FA65D1" w:rsidRDefault="009D0BD7" w:rsidP="00FA65D1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31.12.2015 № 2253</w:t>
      </w:r>
      <w:r w:rsidR="00105F59">
        <w:rPr>
          <w:rFonts w:ascii="Times New Roman" w:hAnsi="Times New Roman" w:cs="Times New Roman"/>
          <w:sz w:val="28"/>
          <w:szCs w:val="28"/>
        </w:rPr>
        <w:t>, от 25.02.2016 № 294</w:t>
      </w:r>
      <w:r w:rsidR="00197315">
        <w:rPr>
          <w:rFonts w:ascii="Times New Roman" w:hAnsi="Times New Roman" w:cs="Times New Roman"/>
          <w:sz w:val="28"/>
          <w:szCs w:val="28"/>
        </w:rPr>
        <w:t>, от 30.03.2016 № 500</w:t>
      </w:r>
      <w:r w:rsidR="00E81630">
        <w:rPr>
          <w:rFonts w:ascii="Times New Roman" w:hAnsi="Times New Roman" w:cs="Times New Roman"/>
          <w:sz w:val="28"/>
          <w:szCs w:val="28"/>
        </w:rPr>
        <w:t>, от 26.04.2016 № 654</w:t>
      </w:r>
      <w:r w:rsidR="00481CC1">
        <w:rPr>
          <w:rFonts w:ascii="Times New Roman" w:hAnsi="Times New Roman" w:cs="Times New Roman"/>
          <w:sz w:val="28"/>
          <w:szCs w:val="28"/>
        </w:rPr>
        <w:t>,  от 27.05.2016 № 814</w:t>
      </w:r>
      <w:r w:rsidR="00DD0FEE">
        <w:rPr>
          <w:rFonts w:ascii="Times New Roman" w:hAnsi="Times New Roman" w:cs="Times New Roman"/>
          <w:sz w:val="28"/>
          <w:szCs w:val="28"/>
        </w:rPr>
        <w:t>, от 14.09.2016 № 1373</w:t>
      </w:r>
      <w:r w:rsidR="00843B87">
        <w:rPr>
          <w:rFonts w:ascii="Times New Roman" w:hAnsi="Times New Roman" w:cs="Times New Roman"/>
          <w:sz w:val="28"/>
          <w:szCs w:val="28"/>
        </w:rPr>
        <w:t>, от 04.10.2016 № 1521</w:t>
      </w:r>
      <w:r w:rsidR="00403CF1">
        <w:rPr>
          <w:rFonts w:ascii="Times New Roman" w:hAnsi="Times New Roman" w:cs="Times New Roman"/>
          <w:sz w:val="28"/>
          <w:szCs w:val="28"/>
        </w:rPr>
        <w:t>, в ред. от 12.10.2016 № 1573</w:t>
      </w:r>
      <w:r w:rsidR="005C0764">
        <w:rPr>
          <w:rFonts w:ascii="Times New Roman" w:hAnsi="Times New Roman" w:cs="Times New Roman"/>
          <w:sz w:val="28"/>
          <w:szCs w:val="28"/>
        </w:rPr>
        <w:t>, в ред. от 16.12.2016 № 2022</w:t>
      </w:r>
      <w:r w:rsidR="00AB566C">
        <w:rPr>
          <w:rFonts w:ascii="Times New Roman" w:hAnsi="Times New Roman" w:cs="Times New Roman"/>
          <w:sz w:val="28"/>
          <w:szCs w:val="28"/>
        </w:rPr>
        <w:t>, в ред. от 30.12.</w:t>
      </w:r>
      <w:r w:rsidR="00AB566C" w:rsidRPr="0039375B">
        <w:rPr>
          <w:rFonts w:ascii="Times New Roman" w:hAnsi="Times New Roman" w:cs="Times New Roman"/>
          <w:sz w:val="28"/>
          <w:szCs w:val="28"/>
        </w:rPr>
        <w:t xml:space="preserve">2016 </w:t>
      </w:r>
      <w:r w:rsidR="0039375B">
        <w:rPr>
          <w:rFonts w:ascii="Times New Roman" w:hAnsi="Times New Roman" w:cs="Times New Roman"/>
          <w:sz w:val="28"/>
          <w:szCs w:val="28"/>
        </w:rPr>
        <w:t>№ 2150</w:t>
      </w:r>
      <w:r w:rsidR="00FA65D1" w:rsidRPr="0039375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255CA" w:rsidRDefault="005255CA" w:rsidP="00D73C9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255CA" w:rsidRDefault="005255CA" w:rsidP="00D73C9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255CA" w:rsidRPr="00B819C2" w:rsidRDefault="005255CA" w:rsidP="00D73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5CA" w:rsidRPr="00AA26AE" w:rsidRDefault="005255CA" w:rsidP="00D73C97">
      <w:pPr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5255CA" w:rsidRPr="00AA26AE" w:rsidRDefault="005255CA" w:rsidP="00D73C97">
      <w:pPr>
        <w:rPr>
          <w:rFonts w:ascii="Times New Roman" w:hAnsi="Times New Roman" w:cs="Times New Roman"/>
          <w:sz w:val="28"/>
          <w:szCs w:val="28"/>
        </w:rPr>
      </w:pPr>
    </w:p>
    <w:p w:rsidR="005255CA" w:rsidRPr="00AA26AE" w:rsidRDefault="005255CA" w:rsidP="00D73C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A26AE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5255CA" w:rsidRPr="00AA26AE" w:rsidRDefault="005255CA" w:rsidP="00D73C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55CA" w:rsidRPr="00AA26AE" w:rsidRDefault="005255CA" w:rsidP="00D73C97">
      <w:pPr>
        <w:jc w:val="center"/>
        <w:rPr>
          <w:rFonts w:ascii="Times New Roman" w:hAnsi="Times New Roman" w:cs="Times New Roman"/>
          <w:sz w:val="32"/>
          <w:szCs w:val="32"/>
        </w:rPr>
      </w:pPr>
      <w:r w:rsidRPr="00AA26AE">
        <w:rPr>
          <w:rFonts w:ascii="Times New Roman" w:hAnsi="Times New Roman" w:cs="Times New Roman"/>
          <w:sz w:val="32"/>
          <w:szCs w:val="32"/>
        </w:rPr>
        <w:t xml:space="preserve">«Реформирование и модернизация жилищно-коммунального </w:t>
      </w:r>
      <w:proofErr w:type="gramStart"/>
      <w:r w:rsidRPr="00AA26AE">
        <w:rPr>
          <w:rFonts w:ascii="Times New Roman" w:hAnsi="Times New Roman" w:cs="Times New Roman"/>
          <w:sz w:val="32"/>
          <w:szCs w:val="32"/>
        </w:rPr>
        <w:t>комплекса</w:t>
      </w:r>
      <w:proofErr w:type="gramEnd"/>
      <w:r w:rsidRPr="00AA26AE">
        <w:rPr>
          <w:rFonts w:ascii="Times New Roman" w:hAnsi="Times New Roman" w:cs="Times New Roman"/>
          <w:sz w:val="32"/>
          <w:szCs w:val="32"/>
        </w:rPr>
        <w:t xml:space="preserve"> ЗАТО г. Радужный на период  2014-2016 г.г. »</w:t>
      </w:r>
    </w:p>
    <w:p w:rsidR="005255CA" w:rsidRPr="00AA26AE" w:rsidRDefault="005255CA" w:rsidP="00D73C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55CA" w:rsidRPr="00AA26AE" w:rsidRDefault="005255CA" w:rsidP="00D73C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55CA" w:rsidRPr="00AA26AE" w:rsidRDefault="005255CA" w:rsidP="00D73C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55CA" w:rsidRPr="00AA26AE" w:rsidRDefault="005255CA" w:rsidP="00D73C97">
      <w:pPr>
        <w:rPr>
          <w:rFonts w:ascii="Times New Roman" w:hAnsi="Times New Roman" w:cs="Times New Roman"/>
          <w:sz w:val="32"/>
          <w:szCs w:val="32"/>
        </w:rPr>
      </w:pPr>
    </w:p>
    <w:p w:rsidR="005255CA" w:rsidRDefault="005255CA" w:rsidP="00D73C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6AE">
        <w:rPr>
          <w:rFonts w:ascii="Times New Roman" w:hAnsi="Times New Roman" w:cs="Times New Roman"/>
          <w:sz w:val="28"/>
          <w:szCs w:val="28"/>
        </w:rPr>
        <w:t>г. Радужный</w:t>
      </w:r>
    </w:p>
    <w:p w:rsidR="005255CA" w:rsidRDefault="005255CA" w:rsidP="00FA6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AA26A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5CA" w:rsidRPr="00DD1665" w:rsidRDefault="005255CA" w:rsidP="00D73C9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1665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</w:p>
    <w:p w:rsidR="005255CA" w:rsidRPr="00DD1665" w:rsidRDefault="005255CA" w:rsidP="00D73C9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166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pPr w:leftFromText="180" w:rightFromText="180" w:vertAnchor="text" w:horzAnchor="margin" w:tblpXSpec="center" w:tblpY="898"/>
        <w:tblW w:w="96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04"/>
        <w:gridCol w:w="6133"/>
      </w:tblGrid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муниципальной  программы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Реформирование и модернизация жилищно-коммунального </w:t>
            </w:r>
            <w:proofErr w:type="gramStart"/>
            <w:r w:rsidRPr="00A54818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proofErr w:type="gramEnd"/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димирской области на период 2014-2016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У «ГКМХ»                          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1.Подпрограмма «Реформирование и модернизация жилищно-коммунального </w:t>
            </w:r>
            <w:proofErr w:type="gramStart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proofErr w:type="gramEnd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 </w:t>
            </w:r>
          </w:p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2. 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«Ведомственная программа </w:t>
            </w: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«Строительный контроль при выполнении работ по капитальному ремонту  общего имущества в многоквартирных домах, расположенных на </w:t>
            </w:r>
            <w:proofErr w:type="gramStart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Радужный»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комплексного развития коммунальной </w:t>
            </w:r>
            <w:proofErr w:type="gramStart"/>
            <w:r w:rsidRPr="00A54818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proofErr w:type="gramEnd"/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Радужный, реализация государственной тарифной политики, создание комфортных условий проживания граждан</w:t>
            </w:r>
          </w:p>
          <w:p w:rsidR="005255CA" w:rsidRPr="007C4C34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C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строительного контроля  в полном соответствии с требованиями действующего законодательства</w:t>
            </w:r>
          </w:p>
        </w:tc>
      </w:tr>
      <w:tr w:rsidR="005255CA" w:rsidRPr="00CD4A70">
        <w:trPr>
          <w:trHeight w:val="77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модернизация</w:t>
            </w: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коммунально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инфраструктуры   муниципального образования</w:t>
            </w: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</w:t>
            </w:r>
            <w:r w:rsidRPr="00CD4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снижение тарифной нагрузки для населения;           </w:t>
            </w:r>
            <w:r w:rsidRPr="00CD4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создание условий для снижения издержек и повышения  качества предоставляемых жилищно-коммунальных услуг </w:t>
            </w:r>
          </w:p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работ по капитальному ремонту многоквартирных домов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 полном соответствии  требованиям</w:t>
            </w:r>
            <w:r w:rsidRPr="00CD4A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действующего законодательства</w:t>
            </w:r>
          </w:p>
        </w:tc>
      </w:tr>
      <w:tr w:rsidR="005255CA" w:rsidRPr="00CD4A70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износа объектов коммунальной          </w:t>
            </w:r>
            <w:r w:rsidRPr="00CD4A70">
              <w:rPr>
                <w:rFonts w:ascii="Times New Roman" w:hAnsi="Times New Roman" w:cs="Times New Roman"/>
                <w:sz w:val="28"/>
                <w:szCs w:val="28"/>
              </w:rPr>
              <w:br/>
              <w:t>инфраструктуры до 50 процентов; доступность для       потребителей товаров и услуг организаций коммунального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выполнение  работ  по капитальному ремонту многоквартирных домов в соответствие с региональной программой</w:t>
            </w:r>
            <w:r w:rsidRPr="001C71DD">
              <w:rPr>
                <w:rFonts w:ascii="Times New Roman" w:hAnsi="Times New Roman" w:cs="Times New Roman"/>
                <w:sz w:val="28"/>
                <w:szCs w:val="28"/>
              </w:rPr>
              <w:t xml:space="preserve">  капитального ремонта  на период с 2014 по 2043 годы, </w:t>
            </w:r>
            <w:r w:rsidRPr="001C7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утвержденная постановлением Губернатора Владимирской области от 30.12.2013 № 1502 «Об утверждении региональной программы капитального ремонта на период с 2014 по 2043 годы»</w:t>
            </w:r>
          </w:p>
        </w:tc>
      </w:tr>
      <w:tr w:rsidR="005255CA" w:rsidRPr="00CD4A70">
        <w:trPr>
          <w:trHeight w:val="63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2014  -2016 г.г.</w:t>
            </w:r>
          </w:p>
        </w:tc>
      </w:tr>
      <w:tr w:rsidR="005255CA" w:rsidRPr="00CD4A70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программы, в том числе по годам </w:t>
            </w:r>
          </w:p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Общие затраты на реализацию муниципальной программы в 2014 – 2016 годы составят  </w:t>
            </w: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255CA" w:rsidRPr="00CD4A70" w:rsidRDefault="00AB566C" w:rsidP="006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121 500,25829</w:t>
            </w:r>
            <w:r w:rsidR="0052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5CA" w:rsidRPr="00CD4A70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2014 год – 43 499,41059 тыс. руб.</w:t>
            </w:r>
          </w:p>
          <w:p w:rsidR="005255CA" w:rsidRPr="00CD4A70" w:rsidRDefault="001E1401" w:rsidP="006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D95B66">
              <w:rPr>
                <w:rFonts w:ascii="Times New Roman" w:hAnsi="Times New Roman" w:cs="Times New Roman"/>
                <w:sz w:val="28"/>
                <w:szCs w:val="28"/>
              </w:rPr>
              <w:t>39 994,23584</w:t>
            </w:r>
            <w:r w:rsidR="00A34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5CA"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255CA" w:rsidRPr="00CD4A70" w:rsidRDefault="005255CA" w:rsidP="005C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2016  год – </w:t>
            </w:r>
            <w:r w:rsidR="0040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66C">
              <w:rPr>
                <w:rFonts w:ascii="Times New Roman" w:hAnsi="Times New Roman" w:cs="Times New Roman"/>
                <w:sz w:val="28"/>
                <w:szCs w:val="28"/>
              </w:rPr>
              <w:t>38 006,61186</w:t>
            </w: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5255CA" w:rsidRPr="00CD4A70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CD4A70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и надежное функционирование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 систем жизнеобеспечения населения, повышение качества жилищно-коммунальных услуг в сочетании с оптимизацией затрат и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социальной защиты населения</w:t>
            </w:r>
          </w:p>
        </w:tc>
      </w:tr>
    </w:tbl>
    <w:p w:rsidR="005255CA" w:rsidRPr="00CD4A70" w:rsidRDefault="005255CA" w:rsidP="00D7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CA" w:rsidRPr="00DD1665" w:rsidRDefault="005255CA" w:rsidP="00D73C9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1665">
        <w:rPr>
          <w:rFonts w:ascii="Times New Roman" w:hAnsi="Times New Roman" w:cs="Times New Roman"/>
          <w:sz w:val="28"/>
          <w:szCs w:val="28"/>
        </w:rPr>
        <w:t>Характеристика проблемы и обоснование необходимости решения ее программными методами</w:t>
      </w:r>
    </w:p>
    <w:p w:rsidR="005255CA" w:rsidRPr="00DD1665" w:rsidRDefault="005255CA" w:rsidP="00D73C97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Особенности жилищно-коммунального комплекса обусловлены его социальной и экономической  значимостью, а также сложной системой взаимосвязей хозяйствующих субъектов и потребителей услуг, в первую очередь населения.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Социальная значимость жилищно-коммунального комплекса состоит  в создании необходимых условий для комфортного и безопасного проживания граждан на территории города.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Экономическая значимость жилищно-коммунального комплекса определяется постоянным потребительским спросом на работы  и услуги и высоким потенциалом для развития частного бизнеса.</w:t>
      </w:r>
    </w:p>
    <w:p w:rsidR="005255CA" w:rsidRPr="00A54818" w:rsidRDefault="00FA65D1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Жилищно-коммунальный</w:t>
      </w:r>
      <w:r w:rsidR="005255CA" w:rsidRPr="00A54818">
        <w:rPr>
          <w:rFonts w:ascii="Times New Roman" w:hAnsi="Times New Roman" w:cs="Times New Roman"/>
          <w:sz w:val="28"/>
          <w:szCs w:val="28"/>
        </w:rPr>
        <w:t xml:space="preserve"> комплекс пр</w:t>
      </w:r>
      <w:r w:rsidR="005255CA">
        <w:rPr>
          <w:rFonts w:ascii="Times New Roman" w:hAnsi="Times New Roman" w:cs="Times New Roman"/>
          <w:sz w:val="28"/>
          <w:szCs w:val="28"/>
        </w:rPr>
        <w:t>едставляет собой сложную систему</w:t>
      </w:r>
      <w:r w:rsidR="005255CA" w:rsidRPr="00A54818">
        <w:rPr>
          <w:rFonts w:ascii="Times New Roman" w:hAnsi="Times New Roman" w:cs="Times New Roman"/>
          <w:sz w:val="28"/>
          <w:szCs w:val="28"/>
        </w:rPr>
        <w:t xml:space="preserve"> социально-экономических отношений, интересов и взаимодействий органов государственной власти и местного самоуправления, предприятий и организаций, бизнеса и  населения, как потребителя жилищно-коммунальных услуг.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Жилищно-коммунальный  компле</w:t>
      </w:r>
      <w:proofErr w:type="gramStart"/>
      <w:r w:rsidRPr="00A54818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A54818">
        <w:rPr>
          <w:rFonts w:ascii="Times New Roman" w:hAnsi="Times New Roman" w:cs="Times New Roman"/>
          <w:sz w:val="28"/>
          <w:szCs w:val="28"/>
        </w:rPr>
        <w:t xml:space="preserve">ючает в себя широкий круг деятельности по управлению многоотраслевым муниципальным хозяйством  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Основную цель функционирования жилищно-коммунального комплекса можно сформулировать, как обеспечение эффективного  механизма, устойчивого и надежного функционирования систем жизнеобеспечения населения, повышение качества жилищно-коммунальных услуг в сочетании с оптимизацией затрат и обеспечением социальной защиты населения.</w:t>
      </w:r>
    </w:p>
    <w:p w:rsidR="005255CA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Главная задача сферы ЖКХ состоит в том, чтобы все жители независимо от уровня дохода были обеспечены качественными услугами. Качество, объем, номенклатура оказываемых услуг должны соответствовать существующим социальным нормативам и стандартам. Показатели качества должны учитываться  при оценке деятельности предприятия ЖКХ.</w:t>
      </w:r>
    </w:p>
    <w:p w:rsidR="005255CA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 в жилищно-коммунальном хозяйстве является высокий процент износа объектов коммунальной инфраструктуры. Реализация мероприятий программы позволит</w:t>
      </w:r>
      <w:r w:rsidR="00C16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снизить</w:t>
      </w:r>
      <w:r w:rsidRPr="00A54818">
        <w:rPr>
          <w:rFonts w:ascii="Times New Roman" w:hAnsi="Times New Roman" w:cs="Times New Roman"/>
          <w:sz w:val="28"/>
          <w:szCs w:val="28"/>
        </w:rPr>
        <w:t xml:space="preserve"> уровня из</w:t>
      </w:r>
      <w:r>
        <w:rPr>
          <w:rFonts w:ascii="Times New Roman" w:hAnsi="Times New Roman" w:cs="Times New Roman"/>
          <w:sz w:val="28"/>
          <w:szCs w:val="28"/>
        </w:rPr>
        <w:t xml:space="preserve">носа объектов </w:t>
      </w:r>
      <w:r w:rsidRPr="00A54818">
        <w:rPr>
          <w:rFonts w:ascii="Times New Roman" w:hAnsi="Times New Roman" w:cs="Times New Roman"/>
          <w:sz w:val="28"/>
          <w:szCs w:val="28"/>
        </w:rPr>
        <w:t>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 до 50 процентов, повысить</w:t>
      </w:r>
      <w:r>
        <w:rPr>
          <w:rFonts w:ascii="Times New Roman" w:hAnsi="Times New Roman" w:cs="Times New Roman"/>
          <w:sz w:val="28"/>
          <w:szCs w:val="28"/>
        </w:rPr>
        <w:br/>
        <w:t>качество предоставляемых коммунальных</w:t>
      </w:r>
      <w:r w:rsidRPr="00A5481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1DD">
        <w:rPr>
          <w:rFonts w:ascii="Times New Roman" w:hAnsi="Times New Roman" w:cs="Times New Roman"/>
          <w:sz w:val="28"/>
          <w:szCs w:val="28"/>
        </w:rPr>
        <w:t xml:space="preserve">На решение проблемы капитального ремонта многоквартирных домов направлено выполнение Федерального </w:t>
      </w:r>
      <w:hyperlink r:id="rId8" w:history="1">
        <w:r w:rsidRPr="001C71D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C71DD">
        <w:rPr>
          <w:rFonts w:ascii="Times New Roman" w:hAnsi="Times New Roman" w:cs="Times New Roman"/>
          <w:sz w:val="28"/>
          <w:szCs w:val="28"/>
        </w:rPr>
        <w:t xml:space="preserve"> от 21.07.2007 № 185-ФЗ «О Фонде содействия реформированию жилищно-коммунального хозяйства», в соответствии с которым разработана региональная программа  капитального ремонта  на период с 2014 по 2043 годы, </w:t>
      </w:r>
      <w:r w:rsidRPr="001C71DD">
        <w:rPr>
          <w:rFonts w:ascii="Times New Roman" w:hAnsi="Times New Roman" w:cs="Times New Roman"/>
          <w:color w:val="000000"/>
          <w:sz w:val="28"/>
          <w:szCs w:val="28"/>
        </w:rPr>
        <w:t>утвержденная постановлением Губернатора Владимирской области от 30.12.2013 № 1502 «Об утверждении региональной программы капитального ремонта на период с 2014 по 2043 годы».</w:t>
      </w:r>
      <w:proofErr w:type="gramEnd"/>
    </w:p>
    <w:p w:rsidR="005255CA" w:rsidRPr="00A54818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В целях дальнейшего улучшения качества жизни населения, комплексного развития систем коммунальной инфраструктуры, снижения необоснованных затрат за счет принятия инвестиционных программ организаций коммунального комплекса, снижения нагрузки на потребителей и разработана настоящая программа.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Pr="00DD1665" w:rsidRDefault="005255CA" w:rsidP="00D73C9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D1665">
        <w:rPr>
          <w:rFonts w:ascii="Times New Roman" w:hAnsi="Times New Roman" w:cs="Times New Roman"/>
          <w:sz w:val="28"/>
          <w:szCs w:val="28"/>
        </w:rPr>
        <w:t>Основные цели и задачи программы, сроки и этапы ее реализации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программы: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D4">
        <w:rPr>
          <w:rFonts w:ascii="Times New Roman" w:hAnsi="Times New Roman" w:cs="Times New Roman"/>
        </w:rPr>
        <w:t xml:space="preserve">- </w:t>
      </w:r>
      <w:r w:rsidRPr="00F171D4">
        <w:rPr>
          <w:rFonts w:ascii="Times New Roman" w:hAnsi="Times New Roman" w:cs="Times New Roman"/>
          <w:sz w:val="28"/>
          <w:szCs w:val="28"/>
        </w:rPr>
        <w:t>обеспечение комплексного</w:t>
      </w:r>
      <w:r w:rsidRPr="00A54818">
        <w:rPr>
          <w:rFonts w:ascii="Times New Roman" w:hAnsi="Times New Roman" w:cs="Times New Roman"/>
          <w:sz w:val="28"/>
          <w:szCs w:val="28"/>
        </w:rPr>
        <w:t xml:space="preserve"> развития систем коммунал</w:t>
      </w:r>
      <w:r>
        <w:rPr>
          <w:rFonts w:ascii="Times New Roman" w:hAnsi="Times New Roman" w:cs="Times New Roman"/>
          <w:sz w:val="28"/>
          <w:szCs w:val="28"/>
        </w:rPr>
        <w:t xml:space="preserve">ьной         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A54818">
        <w:rPr>
          <w:rFonts w:ascii="Times New Roman" w:hAnsi="Times New Roman" w:cs="Times New Roman"/>
          <w:sz w:val="28"/>
          <w:szCs w:val="28"/>
        </w:rPr>
        <w:t>еализация госу</w:t>
      </w:r>
      <w:r>
        <w:rPr>
          <w:rFonts w:ascii="Times New Roman" w:hAnsi="Times New Roman" w:cs="Times New Roman"/>
          <w:sz w:val="28"/>
          <w:szCs w:val="28"/>
        </w:rPr>
        <w:t>дарственной тарифной политики;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A54818">
        <w:rPr>
          <w:rFonts w:ascii="Times New Roman" w:hAnsi="Times New Roman" w:cs="Times New Roman"/>
          <w:sz w:val="28"/>
          <w:szCs w:val="28"/>
        </w:rPr>
        <w:t>оздание комфортных условий проживания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</w:t>
      </w:r>
      <w:r w:rsidRPr="00A54818">
        <w:rPr>
          <w:rFonts w:ascii="Times New Roman" w:hAnsi="Times New Roman" w:cs="Times New Roman"/>
          <w:sz w:val="28"/>
          <w:szCs w:val="28"/>
        </w:rPr>
        <w:t xml:space="preserve">одернизация объектов коммунальной </w:t>
      </w:r>
      <w:proofErr w:type="gramStart"/>
      <w:r w:rsidRPr="00A54818">
        <w:rPr>
          <w:rFonts w:ascii="Times New Roman" w:hAnsi="Times New Roman" w:cs="Times New Roman"/>
          <w:sz w:val="28"/>
          <w:szCs w:val="28"/>
        </w:rPr>
        <w:t>инфрастр</w:t>
      </w:r>
      <w:r>
        <w:rPr>
          <w:rFonts w:ascii="Times New Roman" w:hAnsi="Times New Roman" w:cs="Times New Roman"/>
          <w:sz w:val="28"/>
          <w:szCs w:val="28"/>
        </w:rPr>
        <w:t>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- организация обеспечения надежного и устойчивого обслуживания п</w:t>
      </w:r>
      <w:r>
        <w:rPr>
          <w:rFonts w:ascii="Times New Roman" w:hAnsi="Times New Roman" w:cs="Times New Roman"/>
          <w:sz w:val="28"/>
          <w:szCs w:val="28"/>
        </w:rPr>
        <w:t>отребителей коммунальных услуг.</w:t>
      </w:r>
    </w:p>
    <w:p w:rsidR="005255CA" w:rsidRPr="00EB184C" w:rsidRDefault="005255CA" w:rsidP="00D73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EB184C">
        <w:rPr>
          <w:rFonts w:ascii="Times New Roman" w:hAnsi="Times New Roman" w:cs="Times New Roman"/>
          <w:sz w:val="28"/>
          <w:szCs w:val="28"/>
        </w:rPr>
        <w:t>стимулирование собственников жилых помещений многоквартирных домов к объединению в товарищества собственников жилья;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B184C">
        <w:rPr>
          <w:rFonts w:ascii="Times New Roman" w:hAnsi="Times New Roman" w:cs="Times New Roman"/>
          <w:sz w:val="28"/>
          <w:szCs w:val="28"/>
        </w:rPr>
        <w:t xml:space="preserve">развитие конкурентной среды на рынке управления </w:t>
      </w:r>
      <w:r>
        <w:rPr>
          <w:rFonts w:ascii="Times New Roman" w:hAnsi="Times New Roman" w:cs="Times New Roman"/>
          <w:sz w:val="28"/>
          <w:szCs w:val="28"/>
        </w:rPr>
        <w:t>многоквартирными домами.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 xml:space="preserve">Исходя из анализа </w:t>
      </w:r>
      <w:r>
        <w:rPr>
          <w:rFonts w:ascii="Times New Roman" w:hAnsi="Times New Roman" w:cs="Times New Roman"/>
          <w:sz w:val="28"/>
          <w:szCs w:val="28"/>
        </w:rPr>
        <w:t xml:space="preserve">существующего положения дел в жилищно-коммунальном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</w:t>
      </w:r>
      <w:r w:rsidRPr="00A54818">
        <w:rPr>
          <w:rFonts w:ascii="Times New Roman" w:hAnsi="Times New Roman" w:cs="Times New Roman"/>
          <w:sz w:val="28"/>
          <w:szCs w:val="28"/>
        </w:rPr>
        <w:t>и целей настоящей программы предусматриваются основные направления ее реализации:</w:t>
      </w:r>
    </w:p>
    <w:p w:rsidR="005255CA" w:rsidRPr="00A54818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 xml:space="preserve">- содействие комплексному развитию систем коммунальной </w:t>
      </w:r>
      <w:proofErr w:type="gramStart"/>
      <w:r w:rsidRPr="00A54818">
        <w:rPr>
          <w:rFonts w:ascii="Times New Roman" w:hAnsi="Times New Roman" w:cs="Times New Roman"/>
          <w:sz w:val="28"/>
          <w:szCs w:val="28"/>
        </w:rPr>
        <w:t>инфрастр</w:t>
      </w:r>
      <w:r>
        <w:rPr>
          <w:rFonts w:ascii="Times New Roman" w:hAnsi="Times New Roman" w:cs="Times New Roman"/>
          <w:sz w:val="28"/>
          <w:szCs w:val="28"/>
        </w:rPr>
        <w:t>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  <w:r w:rsidRPr="00A54818">
        <w:rPr>
          <w:rFonts w:ascii="Times New Roman" w:hAnsi="Times New Roman" w:cs="Times New Roman"/>
          <w:sz w:val="28"/>
          <w:szCs w:val="28"/>
        </w:rPr>
        <w:t>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2014-2016 годы: 1 этап – 2014 год,                        2 этап – 2015 год, 3 этап – 2016 год</w:t>
      </w:r>
    </w:p>
    <w:p w:rsidR="005255CA" w:rsidRDefault="005255CA" w:rsidP="00D73C97">
      <w:pPr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255CA" w:rsidRDefault="005255CA" w:rsidP="00D73C97">
      <w:pPr>
        <w:adjustRightInd w:val="0"/>
        <w:spacing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3.Ресурсное обеспечение  реализации программы</w:t>
      </w:r>
    </w:p>
    <w:p w:rsidR="005255CA" w:rsidRDefault="005255CA" w:rsidP="00B7574C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 программы  изложено в приложении № 1 к муниципальной программе.</w:t>
      </w:r>
    </w:p>
    <w:p w:rsidR="005255CA" w:rsidRDefault="005255CA" w:rsidP="00D73C97">
      <w:pPr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BD7343">
      <w:pPr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B40">
        <w:rPr>
          <w:rFonts w:ascii="Times New Roman" w:hAnsi="Times New Roman" w:cs="Times New Roman"/>
          <w:sz w:val="28"/>
          <w:szCs w:val="28"/>
        </w:rPr>
        <w:t>4. Мероприятия муниципальной программы</w:t>
      </w:r>
    </w:p>
    <w:p w:rsidR="005255CA" w:rsidRPr="000A0B40" w:rsidRDefault="005255CA" w:rsidP="00BD7343">
      <w:pPr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304CA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40">
        <w:rPr>
          <w:rFonts w:ascii="Times New Roman" w:hAnsi="Times New Roman" w:cs="Times New Roman"/>
          <w:sz w:val="28"/>
          <w:szCs w:val="28"/>
        </w:rPr>
        <w:t>Перечень мероприятий муниципальной пр</w:t>
      </w:r>
      <w:r>
        <w:rPr>
          <w:rFonts w:ascii="Times New Roman" w:hAnsi="Times New Roman" w:cs="Times New Roman"/>
          <w:sz w:val="28"/>
          <w:szCs w:val="28"/>
        </w:rPr>
        <w:t>ограммы представлен в приложениях к подпрограммам</w:t>
      </w:r>
      <w:r w:rsidRPr="000A0B40">
        <w:rPr>
          <w:rFonts w:ascii="Times New Roman" w:hAnsi="Times New Roman" w:cs="Times New Roman"/>
          <w:sz w:val="28"/>
          <w:szCs w:val="28"/>
        </w:rPr>
        <w:t>.</w:t>
      </w:r>
    </w:p>
    <w:p w:rsidR="00304CAF" w:rsidRPr="000A0B40" w:rsidRDefault="00304CAF" w:rsidP="00304CA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adjustRightInd w:val="0"/>
        <w:spacing w:after="0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0B40">
        <w:rPr>
          <w:rFonts w:ascii="Times New Roman" w:hAnsi="Times New Roman" w:cs="Times New Roman"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программы</w:t>
      </w:r>
    </w:p>
    <w:p w:rsidR="005255CA" w:rsidRPr="000A0B40" w:rsidRDefault="005255CA" w:rsidP="00D73C97">
      <w:pPr>
        <w:adjustRightInd w:val="0"/>
        <w:spacing w:after="0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B6A">
        <w:rPr>
          <w:rFonts w:ascii="Times New Roman" w:hAnsi="Times New Roman" w:cs="Times New Roman"/>
          <w:sz w:val="28"/>
          <w:szCs w:val="28"/>
        </w:rPr>
        <w:t>В соответствии с целью и задачами Программы основной эффект от реализации ее мероприятий имеет, прежде всего, социальную направленность, стимулирующую активизацию экономической деятельности города:</w:t>
      </w:r>
    </w:p>
    <w:p w:rsidR="005255CA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818">
        <w:rPr>
          <w:rFonts w:ascii="Times New Roman" w:hAnsi="Times New Roman" w:cs="Times New Roman"/>
          <w:sz w:val="28"/>
          <w:szCs w:val="28"/>
        </w:rPr>
        <w:t xml:space="preserve"> обеспечение эффективного  механизма</w:t>
      </w:r>
      <w:r w:rsidR="000360C3">
        <w:rPr>
          <w:rFonts w:ascii="Times New Roman" w:hAnsi="Times New Roman" w:cs="Times New Roman"/>
          <w:sz w:val="28"/>
          <w:szCs w:val="28"/>
        </w:rPr>
        <w:t xml:space="preserve"> </w:t>
      </w:r>
      <w:r w:rsidRPr="00A54818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 комплекса, устойчивого и надежного функционирования систем жизнеобеспечения населения, повышение качества жилищно-коммунальных услуг в сочетании с оптимизацией затрат и обеспечен</w:t>
      </w:r>
      <w:r>
        <w:rPr>
          <w:rFonts w:ascii="Times New Roman" w:hAnsi="Times New Roman" w:cs="Times New Roman"/>
          <w:sz w:val="28"/>
          <w:szCs w:val="28"/>
        </w:rPr>
        <w:t>ием социальной защиты населения.</w:t>
      </w:r>
    </w:p>
    <w:p w:rsidR="005255CA" w:rsidRPr="003C3CC0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по следующим критериям и целевым показателям:</w:t>
      </w:r>
    </w:p>
    <w:p w:rsidR="005255CA" w:rsidRPr="003C3CC0" w:rsidRDefault="005255CA" w:rsidP="00D7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1. Критерий территориальной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(расчет этого критерия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 в подпрограмме «</w:t>
      </w:r>
      <w:r w:rsidRPr="00CD4A70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жилищно-коммунального </w:t>
      </w:r>
      <w:proofErr w:type="gramStart"/>
      <w:r w:rsidRPr="00CD4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CD4A70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на период 2014-2016г.г.»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55CA" w:rsidRPr="00CD4A70" w:rsidRDefault="005255CA" w:rsidP="00D7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 xml:space="preserve">2. Критерий экономической доступности </w:t>
      </w:r>
      <w:r>
        <w:rPr>
          <w:rFonts w:ascii="Times New Roman" w:hAnsi="Times New Roman" w:cs="Times New Roman"/>
          <w:sz w:val="28"/>
          <w:szCs w:val="28"/>
        </w:rPr>
        <w:t>(расчет этого критерия представлен в подпрограмме «</w:t>
      </w:r>
      <w:r w:rsidRPr="00CD4A70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жилищно-коммунального </w:t>
      </w:r>
      <w:proofErr w:type="gramStart"/>
      <w:r w:rsidRPr="00CD4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CD4A70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на период 2014-2016г.г.»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55CA" w:rsidRPr="003C3CC0" w:rsidRDefault="005255CA" w:rsidP="00D7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 xml:space="preserve">3. Критерий комфортности </w:t>
      </w:r>
      <w:r>
        <w:rPr>
          <w:rFonts w:ascii="Times New Roman" w:hAnsi="Times New Roman" w:cs="Times New Roman"/>
          <w:sz w:val="28"/>
          <w:szCs w:val="28"/>
        </w:rPr>
        <w:t>и критерий безопасности (расчет этого критерия представлен в подпрограмме «</w:t>
      </w:r>
      <w:r w:rsidRPr="00CD4A70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жилищно-коммунального </w:t>
      </w:r>
      <w:proofErr w:type="gramStart"/>
      <w:r w:rsidRPr="00CD4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CD4A70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на период 2014-2016г.г.»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55CA" w:rsidRPr="00CD4A70" w:rsidRDefault="005255CA" w:rsidP="00D7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 xml:space="preserve">4. Показатель доли неэффективных расходов на жилищно-коммунальное хозяйство </w:t>
      </w:r>
      <w:r>
        <w:rPr>
          <w:rFonts w:ascii="Times New Roman" w:hAnsi="Times New Roman" w:cs="Times New Roman"/>
          <w:sz w:val="28"/>
          <w:szCs w:val="28"/>
        </w:rPr>
        <w:t>(расчет этого показателя представлен в подпрограмме «</w:t>
      </w:r>
      <w:r w:rsidRPr="00CD4A70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жилищно-коммунального </w:t>
      </w:r>
      <w:proofErr w:type="gramStart"/>
      <w:r w:rsidRPr="00CD4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CD4A70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на период 2014-2016г.г.»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Показатель доли неэффективных расходов на жилищно-коммунальное хозяйство по годам реализации программы не должен превышать 15%.</w:t>
      </w:r>
    </w:p>
    <w:p w:rsidR="005255CA" w:rsidRPr="003C3CC0" w:rsidRDefault="005255CA" w:rsidP="00D7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5. Показатель доли убыточных организаций жилищно-коммунального хозяйства (%),</w:t>
      </w:r>
      <w:r>
        <w:rPr>
          <w:rFonts w:ascii="Times New Roman" w:hAnsi="Times New Roman" w:cs="Times New Roman"/>
          <w:sz w:val="28"/>
          <w:szCs w:val="28"/>
        </w:rPr>
        <w:t>(расчет этого критерия представлен в подпрограмме «</w:t>
      </w:r>
      <w:r w:rsidRPr="00CD4A70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жилищно-коммунального </w:t>
      </w:r>
      <w:proofErr w:type="gramStart"/>
      <w:r w:rsidRPr="00CD4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CD4A70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на период 2014-2016г.г.»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rPr>
          <w:rFonts w:ascii="Times New Roman" w:hAnsi="Times New Roman" w:cs="Times New Roman"/>
          <w:sz w:val="28"/>
          <w:szCs w:val="28"/>
        </w:rPr>
      </w:pPr>
    </w:p>
    <w:p w:rsidR="00304CAF" w:rsidRDefault="00304CAF" w:rsidP="00FA65D1">
      <w:pPr>
        <w:autoSpaceDE w:val="0"/>
        <w:autoSpaceDN w:val="0"/>
        <w:adjustRightInd w:val="0"/>
        <w:spacing w:after="0" w:line="240" w:lineRule="atLeast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4CAF" w:rsidRDefault="00304CAF" w:rsidP="00FA65D1">
      <w:pPr>
        <w:autoSpaceDE w:val="0"/>
        <w:autoSpaceDN w:val="0"/>
        <w:adjustRightInd w:val="0"/>
        <w:spacing w:after="0" w:line="240" w:lineRule="atLeast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4CAF" w:rsidRDefault="00304CAF" w:rsidP="00FA65D1">
      <w:pPr>
        <w:autoSpaceDE w:val="0"/>
        <w:autoSpaceDN w:val="0"/>
        <w:adjustRightInd w:val="0"/>
        <w:spacing w:after="0" w:line="240" w:lineRule="atLeast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Pr="00FA65D1" w:rsidRDefault="005255CA" w:rsidP="00FA65D1">
      <w:pPr>
        <w:autoSpaceDE w:val="0"/>
        <w:autoSpaceDN w:val="0"/>
        <w:adjustRightInd w:val="0"/>
        <w:spacing w:after="0" w:line="240" w:lineRule="atLeast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под</w:t>
      </w:r>
      <w:r w:rsidRPr="00DD1665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898"/>
        <w:tblW w:w="96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04"/>
        <w:gridCol w:w="6133"/>
      </w:tblGrid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FA65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FA65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Реформирование и модернизация жилищно-коммунального </w:t>
            </w:r>
            <w:proofErr w:type="gramStart"/>
            <w:r w:rsidRPr="00A54818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proofErr w:type="gramEnd"/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димирской области»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У «ГКМХ»                          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комплексного развития коммунальной </w:t>
            </w:r>
            <w:proofErr w:type="gramStart"/>
            <w:r w:rsidRPr="00A54818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proofErr w:type="gramEnd"/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Радужный, реализация государственной тарифной политики, создание комфортных условий проживания граждан</w:t>
            </w:r>
          </w:p>
        </w:tc>
      </w:tr>
      <w:tr w:rsidR="005255CA" w:rsidRPr="00102D1D" w:rsidTr="00FA65D1">
        <w:trPr>
          <w:trHeight w:val="2248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>- модернизация объекто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коммунальной инфраструктуры  муниципального образования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снижение тарифной нагрузки для населения;           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создание условий для снижения издержек и повышения  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предоставляемых жилищно-коммунальных услуг   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износа объектов коммунальной          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инфраструктуры до 50 процентов; доступность для       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br/>
              <w:t>потребителей товаров и услуг организаций коммуналь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                                            </w:t>
            </w:r>
          </w:p>
        </w:tc>
      </w:tr>
      <w:tr w:rsidR="005255CA" w:rsidRPr="00102D1D" w:rsidTr="00FA65D1">
        <w:trPr>
          <w:trHeight w:val="73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 -2016 г.г.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в том числе по годам </w:t>
            </w:r>
          </w:p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1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Общие затраты на реализацию муниципальной</w:t>
            </w:r>
            <w:r w:rsidRPr="00E56D5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программы в 2014 – 2016 годы составят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5255CA" w:rsidRDefault="00AB566C" w:rsidP="006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120 378,10462</w:t>
            </w:r>
            <w:r w:rsidR="00A34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5C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255CA" w:rsidRPr="008B49BB" w:rsidRDefault="005255CA" w:rsidP="006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9BB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–43 499,41059</w:t>
            </w:r>
            <w:r w:rsidRPr="008B49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255CA" w:rsidRPr="008B49BB" w:rsidRDefault="005255CA" w:rsidP="006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9B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95B66">
              <w:rPr>
                <w:rFonts w:ascii="Times New Roman" w:hAnsi="Times New Roman" w:cs="Times New Roman"/>
                <w:sz w:val="28"/>
                <w:szCs w:val="28"/>
              </w:rPr>
              <w:t>39 488,05976</w:t>
            </w:r>
            <w:r w:rsidR="00EF3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9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255CA" w:rsidRPr="00102D1D" w:rsidRDefault="005255CA" w:rsidP="00CA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566C">
              <w:rPr>
                <w:rFonts w:ascii="Times New Roman" w:hAnsi="Times New Roman" w:cs="Times New Roman"/>
                <w:sz w:val="28"/>
                <w:szCs w:val="28"/>
              </w:rPr>
              <w:t>37 390,63427</w:t>
            </w:r>
            <w:r w:rsidRPr="008B49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5255CA" w:rsidRPr="00102D1D">
        <w:trPr>
          <w:trHeight w:val="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5CA" w:rsidRPr="00102D1D" w:rsidRDefault="005255CA" w:rsidP="00651A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повышение 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и доступности предоставляемых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жилищных и </w:t>
            </w:r>
            <w:r w:rsidRPr="00A54818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коммунальных   услуг                                                 </w:t>
            </w:r>
          </w:p>
        </w:tc>
      </w:tr>
    </w:tbl>
    <w:p w:rsidR="005255CA" w:rsidRPr="00A54818" w:rsidRDefault="005255CA" w:rsidP="00D7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CA" w:rsidRPr="00DD1665" w:rsidRDefault="005255CA" w:rsidP="00D73C9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1665">
        <w:rPr>
          <w:rFonts w:ascii="Times New Roman" w:hAnsi="Times New Roman" w:cs="Times New Roman"/>
          <w:sz w:val="28"/>
          <w:szCs w:val="28"/>
        </w:rPr>
        <w:t>Характеристика проблемы и обоснование необходимости решения ее программными методами</w:t>
      </w:r>
    </w:p>
    <w:p w:rsidR="005255CA" w:rsidRPr="00DD1665" w:rsidRDefault="005255CA" w:rsidP="00D73C97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Особенности жилищно-коммунального комплекса обусловлены его социальной и экономической  значимостью, а также сложной системой взаимосвязей хозяйствующих субъектов и потребителей услуг, в первую очередь населения.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Социальная значимость жилищно-коммунального комплекса состоит  в создании необходимых условий для комфортного и безопасного проживания граждан на территории города.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Экономическая значимость жилищно-коммунального комплекса определяется постоянным потребительским спросом на работы  и услуги и высоким потенциалом для развития частного бизнеса.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Жилищно-коммунальный  комплекс пр</w:t>
      </w:r>
      <w:r>
        <w:rPr>
          <w:rFonts w:ascii="Times New Roman" w:hAnsi="Times New Roman" w:cs="Times New Roman"/>
          <w:sz w:val="28"/>
          <w:szCs w:val="28"/>
        </w:rPr>
        <w:t>едставляет собой сложную систему</w:t>
      </w:r>
      <w:r w:rsidRPr="00A54818">
        <w:rPr>
          <w:rFonts w:ascii="Times New Roman" w:hAnsi="Times New Roman" w:cs="Times New Roman"/>
          <w:sz w:val="28"/>
          <w:szCs w:val="28"/>
        </w:rPr>
        <w:t xml:space="preserve"> социально-экономических отношений, интересов и взаимодействий органов государственной власти и местного самоуправления, предприятий и организаций, бизнеса и  населения, как потребителя жилищно-коммунальных услуг.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Жилищно-коммунальный  компле</w:t>
      </w:r>
      <w:proofErr w:type="gramStart"/>
      <w:r w:rsidRPr="00A54818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A54818">
        <w:rPr>
          <w:rFonts w:ascii="Times New Roman" w:hAnsi="Times New Roman" w:cs="Times New Roman"/>
          <w:sz w:val="28"/>
          <w:szCs w:val="28"/>
        </w:rPr>
        <w:t xml:space="preserve">ючает в себя широкий круг деятельности по управлению многоотраслевым муниципальным хозяйством  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Основную цель функционирования жилищно-коммунального комплекса можно сформулировать, как обеспечение эффективного  механизма, устойчивого и надежного функционирования систем жизнеобеспечения населения, повышение качества жилищно-коммунальных услуг в сочетании с оптимизацией затрат и обеспечением социальной защиты населения.</w:t>
      </w:r>
    </w:p>
    <w:p w:rsidR="005255CA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Главная задача сферы ЖКХ состоит в том, чтобы все жители независимо от уровня дохода были обеспечены качественными услугами. Качество, объем, номенклатура оказываемых услуг должны соответствовать существующим социальным нормативам и стандартам. Показатели качества должны учитываться  при оценке деятельности предприятия ЖКХ.</w:t>
      </w:r>
    </w:p>
    <w:p w:rsidR="005255CA" w:rsidRPr="00A54818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 в жилищно-коммунальном хозяйстве является высокий процент износа объектов коммунальной инфраструктуры. Реализация мероприятий программы позволит</w:t>
      </w:r>
      <w:r w:rsidR="00481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снизить</w:t>
      </w:r>
      <w:r w:rsidRPr="00A54818">
        <w:rPr>
          <w:rFonts w:ascii="Times New Roman" w:hAnsi="Times New Roman" w:cs="Times New Roman"/>
          <w:sz w:val="28"/>
          <w:szCs w:val="28"/>
        </w:rPr>
        <w:t xml:space="preserve"> уровня из</w:t>
      </w:r>
      <w:r>
        <w:rPr>
          <w:rFonts w:ascii="Times New Roman" w:hAnsi="Times New Roman" w:cs="Times New Roman"/>
          <w:sz w:val="28"/>
          <w:szCs w:val="28"/>
        </w:rPr>
        <w:t xml:space="preserve">носа объектов </w:t>
      </w:r>
      <w:r w:rsidRPr="00A54818">
        <w:rPr>
          <w:rFonts w:ascii="Times New Roman" w:hAnsi="Times New Roman" w:cs="Times New Roman"/>
          <w:sz w:val="28"/>
          <w:szCs w:val="28"/>
        </w:rPr>
        <w:t>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 до 50 процентов, повысить</w:t>
      </w:r>
      <w:r>
        <w:rPr>
          <w:rFonts w:ascii="Times New Roman" w:hAnsi="Times New Roman" w:cs="Times New Roman"/>
          <w:sz w:val="28"/>
          <w:szCs w:val="28"/>
        </w:rPr>
        <w:br/>
        <w:t>качество предоставляемых коммунальных</w:t>
      </w:r>
      <w:r w:rsidRPr="00A5481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5CA" w:rsidRPr="00A54818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 xml:space="preserve">В целях дальнейшего улучшения качества жизни населения, комплексного развития систем коммунальной инфраструктуры, снижения необоснованных затрат за счет принятия инвестиционных программ </w:t>
      </w:r>
      <w:r w:rsidRPr="00A54818">
        <w:rPr>
          <w:rFonts w:ascii="Times New Roman" w:hAnsi="Times New Roman" w:cs="Times New Roman"/>
          <w:sz w:val="28"/>
          <w:szCs w:val="28"/>
        </w:rPr>
        <w:lastRenderedPageBreak/>
        <w:t>организаций коммунального комплекса, снижения нагрузки на потребителей и разработана настоящая программа.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Pr="00DD1665" w:rsidRDefault="005255CA" w:rsidP="00D73C9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D1665"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D1665">
        <w:rPr>
          <w:rFonts w:ascii="Times New Roman" w:hAnsi="Times New Roman" w:cs="Times New Roman"/>
          <w:sz w:val="28"/>
          <w:szCs w:val="28"/>
        </w:rPr>
        <w:t>программы, сроки и этапы ее реализации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подпрограммы: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D4">
        <w:rPr>
          <w:rFonts w:ascii="Times New Roman" w:hAnsi="Times New Roman" w:cs="Times New Roman"/>
        </w:rPr>
        <w:t xml:space="preserve">- </w:t>
      </w:r>
      <w:r w:rsidRPr="00F171D4">
        <w:rPr>
          <w:rFonts w:ascii="Times New Roman" w:hAnsi="Times New Roman" w:cs="Times New Roman"/>
          <w:sz w:val="28"/>
          <w:szCs w:val="28"/>
        </w:rPr>
        <w:t>обеспечение комплексного</w:t>
      </w:r>
      <w:r w:rsidRPr="00A54818">
        <w:rPr>
          <w:rFonts w:ascii="Times New Roman" w:hAnsi="Times New Roman" w:cs="Times New Roman"/>
          <w:sz w:val="28"/>
          <w:szCs w:val="28"/>
        </w:rPr>
        <w:t xml:space="preserve"> развития систем коммунал</w:t>
      </w:r>
      <w:r>
        <w:rPr>
          <w:rFonts w:ascii="Times New Roman" w:hAnsi="Times New Roman" w:cs="Times New Roman"/>
          <w:sz w:val="28"/>
          <w:szCs w:val="28"/>
        </w:rPr>
        <w:t xml:space="preserve">ьной         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A54818">
        <w:rPr>
          <w:rFonts w:ascii="Times New Roman" w:hAnsi="Times New Roman" w:cs="Times New Roman"/>
          <w:sz w:val="28"/>
          <w:szCs w:val="28"/>
        </w:rPr>
        <w:t>еализация госу</w:t>
      </w:r>
      <w:r>
        <w:rPr>
          <w:rFonts w:ascii="Times New Roman" w:hAnsi="Times New Roman" w:cs="Times New Roman"/>
          <w:sz w:val="28"/>
          <w:szCs w:val="28"/>
        </w:rPr>
        <w:t>дарственной тарифной политики;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A54818">
        <w:rPr>
          <w:rFonts w:ascii="Times New Roman" w:hAnsi="Times New Roman" w:cs="Times New Roman"/>
          <w:sz w:val="28"/>
          <w:szCs w:val="28"/>
        </w:rPr>
        <w:t>оздание комфортных условий проживания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A54818">
        <w:rPr>
          <w:rFonts w:ascii="Times New Roman" w:hAnsi="Times New Roman" w:cs="Times New Roman"/>
          <w:sz w:val="28"/>
          <w:szCs w:val="28"/>
        </w:rPr>
        <w:t xml:space="preserve">одернизация объектов коммунальной </w:t>
      </w:r>
      <w:proofErr w:type="gramStart"/>
      <w:r w:rsidRPr="00A54818">
        <w:rPr>
          <w:rFonts w:ascii="Times New Roman" w:hAnsi="Times New Roman" w:cs="Times New Roman"/>
          <w:sz w:val="28"/>
          <w:szCs w:val="28"/>
        </w:rPr>
        <w:t>инфрастр</w:t>
      </w:r>
      <w:r>
        <w:rPr>
          <w:rFonts w:ascii="Times New Roman" w:hAnsi="Times New Roman" w:cs="Times New Roman"/>
          <w:sz w:val="28"/>
          <w:szCs w:val="28"/>
        </w:rPr>
        <w:t>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A54818">
        <w:rPr>
          <w:rFonts w:ascii="Times New Roman" w:hAnsi="Times New Roman" w:cs="Times New Roman"/>
          <w:sz w:val="28"/>
          <w:szCs w:val="28"/>
        </w:rPr>
        <w:t>меньшение тарифной нагрузки дл</w:t>
      </w:r>
      <w:r>
        <w:rPr>
          <w:rFonts w:ascii="Times New Roman" w:hAnsi="Times New Roman" w:cs="Times New Roman"/>
          <w:sz w:val="28"/>
          <w:szCs w:val="28"/>
        </w:rPr>
        <w:t>я населения;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54818">
        <w:rPr>
          <w:rFonts w:ascii="Times New Roman" w:hAnsi="Times New Roman" w:cs="Times New Roman"/>
          <w:sz w:val="28"/>
          <w:szCs w:val="28"/>
        </w:rPr>
        <w:t xml:space="preserve">оздание условий для снижения </w:t>
      </w:r>
      <w:r>
        <w:rPr>
          <w:rFonts w:ascii="Times New Roman" w:hAnsi="Times New Roman" w:cs="Times New Roman"/>
          <w:sz w:val="28"/>
          <w:szCs w:val="28"/>
        </w:rPr>
        <w:t>издержек и повышения качества</w:t>
      </w:r>
      <w:r w:rsidRPr="00A54818">
        <w:rPr>
          <w:rFonts w:ascii="Times New Roman" w:hAnsi="Times New Roman" w:cs="Times New Roman"/>
          <w:sz w:val="28"/>
          <w:szCs w:val="28"/>
        </w:rPr>
        <w:br/>
        <w:t>предоставля</w:t>
      </w:r>
      <w:r>
        <w:rPr>
          <w:rFonts w:ascii="Times New Roman" w:hAnsi="Times New Roman" w:cs="Times New Roman"/>
          <w:sz w:val="28"/>
          <w:szCs w:val="28"/>
        </w:rPr>
        <w:t>емых жилищно-коммунальных услуг.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целевыми показателями (индикаторами) реализации муниципальной программы являются: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B64E63">
        <w:rPr>
          <w:rFonts w:ascii="Times New Roman" w:hAnsi="Times New Roman" w:cs="Times New Roman"/>
          <w:sz w:val="28"/>
          <w:szCs w:val="28"/>
        </w:rPr>
        <w:t>оля населения, имеющего доступ к услугам централизованных систем коммунальной инфраструктуры;</w:t>
      </w:r>
    </w:p>
    <w:p w:rsidR="005255CA" w:rsidRPr="00B64E63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4E63">
        <w:rPr>
          <w:rFonts w:ascii="Times New Roman" w:hAnsi="Times New Roman" w:cs="Times New Roman"/>
          <w:sz w:val="28"/>
          <w:szCs w:val="28"/>
        </w:rPr>
        <w:t xml:space="preserve">оля тепловой энергии, расчеты за которую осуществляются  с использованием </w:t>
      </w:r>
      <w:proofErr w:type="spellStart"/>
      <w:r w:rsidRPr="00B64E63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B64E63">
        <w:rPr>
          <w:rFonts w:ascii="Times New Roman" w:hAnsi="Times New Roman" w:cs="Times New Roman"/>
          <w:sz w:val="28"/>
          <w:szCs w:val="28"/>
        </w:rPr>
        <w:t xml:space="preserve"> приборов учета;</w:t>
      </w:r>
    </w:p>
    <w:p w:rsidR="005255CA" w:rsidRPr="00B64E63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4E63">
        <w:rPr>
          <w:rFonts w:ascii="Times New Roman" w:hAnsi="Times New Roman" w:cs="Times New Roman"/>
          <w:sz w:val="28"/>
          <w:szCs w:val="28"/>
        </w:rPr>
        <w:t xml:space="preserve">оля холодной и горячей воды, расчеты за которую осуществляются  с использованием </w:t>
      </w:r>
      <w:proofErr w:type="spellStart"/>
      <w:r w:rsidRPr="00B64E63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B64E63">
        <w:rPr>
          <w:rFonts w:ascii="Times New Roman" w:hAnsi="Times New Roman" w:cs="Times New Roman"/>
          <w:sz w:val="28"/>
          <w:szCs w:val="28"/>
        </w:rPr>
        <w:t xml:space="preserve"> приборов учета  (ОДПУ);</w:t>
      </w:r>
    </w:p>
    <w:p w:rsidR="005255CA" w:rsidRPr="00B64E63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доля электрической энергии</w:t>
      </w:r>
      <w:r w:rsidRPr="00B64E63">
        <w:rPr>
          <w:rFonts w:ascii="Times New Roman" w:hAnsi="Times New Roman" w:cs="Times New Roman"/>
          <w:sz w:val="28"/>
          <w:szCs w:val="28"/>
        </w:rPr>
        <w:t xml:space="preserve">, расчеты за которую осуществляются  с использованием </w:t>
      </w:r>
      <w:proofErr w:type="spellStart"/>
      <w:r w:rsidRPr="00B64E63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B64E63">
        <w:rPr>
          <w:rFonts w:ascii="Times New Roman" w:hAnsi="Times New Roman" w:cs="Times New Roman"/>
          <w:sz w:val="28"/>
          <w:szCs w:val="28"/>
        </w:rPr>
        <w:t xml:space="preserve"> приборов учета  (ОДПУ);</w:t>
      </w:r>
    </w:p>
    <w:p w:rsidR="005255CA" w:rsidRPr="00A54818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B64E63">
        <w:rPr>
          <w:rFonts w:ascii="Times New Roman" w:hAnsi="Times New Roman" w:cs="Times New Roman"/>
          <w:sz w:val="28"/>
          <w:szCs w:val="28"/>
        </w:rPr>
        <w:t xml:space="preserve">изменения размера вносимой гражданами платы за коммунальные услуги утвержденному предельному (максимальному) индексу  постановлением Губернатора Владимирской области 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Pr="00B64E63">
        <w:rPr>
          <w:rFonts w:ascii="Times New Roman" w:hAnsi="Times New Roman" w:cs="Times New Roman"/>
          <w:sz w:val="28"/>
          <w:szCs w:val="28"/>
        </w:rPr>
        <w:t>разница между утвержденным индексом и фактическим изменением, отклонение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 xml:space="preserve">Исходя из анализа </w:t>
      </w:r>
      <w:r>
        <w:rPr>
          <w:rFonts w:ascii="Times New Roman" w:hAnsi="Times New Roman" w:cs="Times New Roman"/>
          <w:sz w:val="28"/>
          <w:szCs w:val="28"/>
        </w:rPr>
        <w:t xml:space="preserve">существующего положения дел в жилищно-коммунальном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</w:t>
      </w:r>
      <w:r w:rsidRPr="00A54818">
        <w:rPr>
          <w:rFonts w:ascii="Times New Roman" w:hAnsi="Times New Roman" w:cs="Times New Roman"/>
          <w:sz w:val="28"/>
          <w:szCs w:val="28"/>
        </w:rPr>
        <w:t>и целей настоящей программы предусматриваются основные направления ее реализации: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 xml:space="preserve">- содействие комплексному развитию систем коммунальной </w:t>
      </w:r>
      <w:proofErr w:type="gramStart"/>
      <w:r w:rsidRPr="00A54818">
        <w:rPr>
          <w:rFonts w:ascii="Times New Roman" w:hAnsi="Times New Roman" w:cs="Times New Roman"/>
          <w:sz w:val="28"/>
          <w:szCs w:val="28"/>
        </w:rPr>
        <w:t>инфрастр</w:t>
      </w:r>
      <w:r>
        <w:rPr>
          <w:rFonts w:ascii="Times New Roman" w:hAnsi="Times New Roman" w:cs="Times New Roman"/>
          <w:sz w:val="28"/>
          <w:szCs w:val="28"/>
        </w:rPr>
        <w:t>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  <w:r w:rsidRPr="00A54818">
        <w:rPr>
          <w:rFonts w:ascii="Times New Roman" w:hAnsi="Times New Roman" w:cs="Times New Roman"/>
          <w:sz w:val="28"/>
          <w:szCs w:val="28"/>
        </w:rPr>
        <w:t>;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подпрограммы 2014-2016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этап – 2014 год,       2 этап – 2015 год, 3 этап – 2016 год.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3.Ресурсное обеспечение реализации подпрограммы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 подпрограммы  изложено в приложении № 1.</w:t>
      </w:r>
    </w:p>
    <w:p w:rsidR="005255CA" w:rsidRDefault="005255CA" w:rsidP="00D73C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5D1" w:rsidRDefault="00FA65D1" w:rsidP="00D73C97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5CA" w:rsidRPr="000A0B40" w:rsidRDefault="005255CA" w:rsidP="00D73C97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A0B40">
        <w:rPr>
          <w:rFonts w:ascii="Times New Roman" w:hAnsi="Times New Roman" w:cs="Times New Roman"/>
          <w:sz w:val="28"/>
          <w:szCs w:val="28"/>
        </w:rPr>
        <w:t xml:space="preserve">. Мероприятия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A0B40">
        <w:rPr>
          <w:rFonts w:ascii="Times New Roman" w:hAnsi="Times New Roman" w:cs="Times New Roman"/>
          <w:sz w:val="28"/>
          <w:szCs w:val="28"/>
        </w:rPr>
        <w:t>программы</w:t>
      </w:r>
    </w:p>
    <w:p w:rsidR="005255CA" w:rsidRPr="000A0B40" w:rsidRDefault="005255CA" w:rsidP="00D73C9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4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A0B4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ограммы представлен в приложении № 2 к подпрограмме</w:t>
      </w:r>
      <w:r w:rsidRPr="000A0B40">
        <w:rPr>
          <w:rFonts w:ascii="Times New Roman" w:hAnsi="Times New Roman" w:cs="Times New Roman"/>
          <w:sz w:val="28"/>
          <w:szCs w:val="28"/>
        </w:rPr>
        <w:t>.</w:t>
      </w:r>
    </w:p>
    <w:p w:rsidR="005255CA" w:rsidRPr="000A0B40" w:rsidRDefault="005255CA" w:rsidP="00D73C97">
      <w:pPr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A0B40">
        <w:rPr>
          <w:rFonts w:ascii="Times New Roman" w:hAnsi="Times New Roman" w:cs="Times New Roman"/>
          <w:sz w:val="28"/>
          <w:szCs w:val="28"/>
        </w:rPr>
        <w:t>. Оценка эффективности и прогноз ожидаемых социальных, экономических и экологических результатов от реализации программы</w:t>
      </w:r>
    </w:p>
    <w:p w:rsidR="005255CA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B6A">
        <w:rPr>
          <w:rFonts w:ascii="Times New Roman" w:hAnsi="Times New Roman" w:cs="Times New Roman"/>
          <w:sz w:val="28"/>
          <w:szCs w:val="28"/>
        </w:rPr>
        <w:t>В соответствии с целью и задачами Программы основной эффект от реализации ее мероприятий имеет, прежде всего, социальную направленность, стимулирующую активизацию экономической деятельности города:</w:t>
      </w:r>
    </w:p>
    <w:p w:rsidR="005255CA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818">
        <w:rPr>
          <w:rFonts w:ascii="Times New Roman" w:hAnsi="Times New Roman" w:cs="Times New Roman"/>
          <w:sz w:val="28"/>
          <w:szCs w:val="28"/>
        </w:rPr>
        <w:t xml:space="preserve"> обеспечение эффективного  механизма</w:t>
      </w:r>
      <w:r w:rsidR="000360C3">
        <w:rPr>
          <w:rFonts w:ascii="Times New Roman" w:hAnsi="Times New Roman" w:cs="Times New Roman"/>
          <w:sz w:val="28"/>
          <w:szCs w:val="28"/>
        </w:rPr>
        <w:t xml:space="preserve"> </w:t>
      </w:r>
      <w:r w:rsidRPr="00A54818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 комплекса, устойчивого и надежного функционирования систем жизнеобеспечения населения, повышение качества жилищно-коммунальных услуг в сочетании с оптимизацией затрат и обеспечен</w:t>
      </w:r>
      <w:r>
        <w:rPr>
          <w:rFonts w:ascii="Times New Roman" w:hAnsi="Times New Roman" w:cs="Times New Roman"/>
          <w:sz w:val="28"/>
          <w:szCs w:val="28"/>
        </w:rPr>
        <w:t>ием социальной защиты населения.</w:t>
      </w:r>
    </w:p>
    <w:p w:rsidR="005255CA" w:rsidRPr="003C3CC0" w:rsidRDefault="005255CA" w:rsidP="00D73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по следующим критериям и целевым показателям: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 xml:space="preserve">1. Критерий территориальной доступности услуг - </w:t>
      </w: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Ктду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>, который определяет долю потребителей, обеспеченных доступом к комм</w:t>
      </w:r>
      <w:r>
        <w:rPr>
          <w:rFonts w:ascii="Times New Roman" w:hAnsi="Times New Roman" w:cs="Times New Roman"/>
          <w:sz w:val="28"/>
          <w:szCs w:val="28"/>
        </w:rPr>
        <w:t xml:space="preserve">унальной инфраструктуре в </w:t>
      </w:r>
      <w:r w:rsidRPr="003C3CC0">
        <w:rPr>
          <w:rFonts w:ascii="Times New Roman" w:hAnsi="Times New Roman" w:cs="Times New Roman"/>
          <w:sz w:val="28"/>
          <w:szCs w:val="28"/>
        </w:rPr>
        <w:t xml:space="preserve"> муниципальном образовании: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Нду</w:t>
      </w:r>
      <w:proofErr w:type="spellEnd"/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Ктду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= ----------------, где</w:t>
      </w:r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Нму</w:t>
      </w:r>
      <w:proofErr w:type="spellEnd"/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Нду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численность населения муниципального образования, имеющего доступ к услугам централизованных систем коммунальной инфраструктуры;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Нму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общая численность населения в муниципальном образовании.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Ктду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должен стремиться к 1, в идеальном случае равен 1.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 xml:space="preserve">2. Критерий экономической доступности услуг - </w:t>
      </w: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Кэду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оценивает соответствие фактически сложившегося роста платы граждан за коммунальные услуги </w:t>
      </w:r>
      <w:proofErr w:type="gramStart"/>
      <w:r w:rsidRPr="003C3CC0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 xml:space="preserve">                И факт</w:t>
      </w:r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Кэду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= ------------------, где</w:t>
      </w:r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 xml:space="preserve">                И уст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Ифакт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фактический индекс роста платы граждан за коммунальные услуги;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Иуст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утвержденный индекс роста платы граждан за коммунальные услуги.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Кэду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не должен превышать 1.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 xml:space="preserve">3. Критерий комфортности - </w:t>
      </w: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и критерий безопасности - Кб - служат для оценки комфортности и безопасности условий проживания граждан: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Сн</w:t>
      </w:r>
      <w:proofErr w:type="spellEnd"/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= ----------------, где</w:t>
      </w:r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Сф</w:t>
      </w:r>
      <w:proofErr w:type="spellEnd"/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финансовые средства, запланированные на модернизацию коммунальных объектов и инженерной инфраструктуры муниципального образования в отчетном году;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Сф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фактические капитальные вложения на модернизацию коммунальных объектов и инженерной инфраструктуры муниципального образования в отчетном году.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должен стремиться к 1, в идеальном случае равен 1.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Фн</w:t>
      </w:r>
      <w:proofErr w:type="spellEnd"/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 xml:space="preserve">    Кб = ----------------, где</w:t>
      </w:r>
    </w:p>
    <w:p w:rsidR="005255CA" w:rsidRPr="003C3CC0" w:rsidRDefault="005255CA" w:rsidP="00D73C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Фф</w:t>
      </w:r>
      <w:proofErr w:type="spellEnd"/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Фн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плановые объемы (в рублях) проведения капитального ремонта многоквартирных домов муниципального образования в отчетном году.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C0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C3CC0">
        <w:rPr>
          <w:rFonts w:ascii="Times New Roman" w:hAnsi="Times New Roman" w:cs="Times New Roman"/>
          <w:sz w:val="28"/>
          <w:szCs w:val="28"/>
        </w:rPr>
        <w:t xml:space="preserve"> - фактические объемы (в рублях) проведения капитального ремонта многоквартирных домов муниципального образования в отчетном году.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Кб - должен стремиться к 1, в идеальном случае равен 1.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4. Показатель доли неэффективных расходов на жилищно-коммунальное хозяйство</w:t>
      </w:r>
      <w:proofErr w:type="gramStart"/>
      <w:r w:rsidRPr="003C3CC0">
        <w:rPr>
          <w:rFonts w:ascii="Times New Roman" w:hAnsi="Times New Roman" w:cs="Times New Roman"/>
          <w:sz w:val="28"/>
          <w:szCs w:val="28"/>
        </w:rPr>
        <w:t xml:space="preserve"> (%), </w:t>
      </w:r>
      <w:proofErr w:type="gramEnd"/>
      <w:r w:rsidRPr="003C3CC0">
        <w:rPr>
          <w:rFonts w:ascii="Times New Roman" w:hAnsi="Times New Roman" w:cs="Times New Roman"/>
          <w:sz w:val="28"/>
          <w:szCs w:val="28"/>
        </w:rPr>
        <w:t>который определяется как отношение объема неэффективных расходов бюджетных средств к общему объему бюджетных расходов в области жилищно-коммунального хозяйства муниципального образования.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Неэффективным расходованием бюджетных средств в области жилищно-коммунального хозяйства является направление бюджетных средств на компенсацию организациям жилищно-коммунальной сферы разницы между экономически обоснованными тарифами и тарифами, установленными для населения и на покрытие убытков организаций жилищно-коммунального хозяйства, возникших в связи с применением регулируемых цен на жилищно-коммунальные услуги.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Показатель доли неэффективных расходов на жилищно-коммунальное хозяйство по годам реализации программы не должен превышать 15%.</w:t>
      </w:r>
    </w:p>
    <w:p w:rsidR="005255CA" w:rsidRPr="003C3CC0" w:rsidRDefault="005255CA" w:rsidP="00D7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CC0">
        <w:rPr>
          <w:rFonts w:ascii="Times New Roman" w:hAnsi="Times New Roman" w:cs="Times New Roman"/>
          <w:sz w:val="28"/>
          <w:szCs w:val="28"/>
        </w:rPr>
        <w:t>5. Показатель доли убыточных организаций жилищно-коммунального хозяйства</w:t>
      </w:r>
      <w:proofErr w:type="gramStart"/>
      <w:r w:rsidRPr="003C3CC0">
        <w:rPr>
          <w:rFonts w:ascii="Times New Roman" w:hAnsi="Times New Roman" w:cs="Times New Roman"/>
          <w:sz w:val="28"/>
          <w:szCs w:val="28"/>
        </w:rPr>
        <w:t xml:space="preserve"> (%), </w:t>
      </w:r>
      <w:proofErr w:type="gramEnd"/>
      <w:r w:rsidRPr="003C3CC0">
        <w:rPr>
          <w:rFonts w:ascii="Times New Roman" w:hAnsi="Times New Roman" w:cs="Times New Roman"/>
          <w:sz w:val="28"/>
          <w:szCs w:val="28"/>
        </w:rPr>
        <w:t>который определяется как отношение количества убыточных организаций ЖКХ к общему количеству организаций, осуществляющих деятельность на территории муниципального образования в сфере жилищно-коммунального хозяйства.</w:t>
      </w:r>
    </w:p>
    <w:p w:rsidR="005255CA" w:rsidRDefault="005255CA" w:rsidP="00D73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0C3" w:rsidRDefault="000360C3" w:rsidP="001E14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04CAF" w:rsidRDefault="00304CAF" w:rsidP="00D73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CAF" w:rsidRDefault="00304CAF" w:rsidP="00D73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CAF" w:rsidRDefault="00304CAF" w:rsidP="00D73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CAF" w:rsidRDefault="00304CAF" w:rsidP="00D73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1CC1" w:rsidRPr="00211543" w:rsidRDefault="00481CC1" w:rsidP="00481C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1"/>
        <w:gridCol w:w="6950"/>
      </w:tblGrid>
      <w:tr w:rsidR="00481CC1" w:rsidRPr="00B67ACC" w:rsidTr="005C0764">
        <w:trPr>
          <w:cantSplit/>
          <w:trHeight w:val="24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B67ACC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AC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67AC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6E187E" w:rsidRDefault="00481CC1" w:rsidP="005C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87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«Строительный контроль при выполнении работ по капитальному ремонту  общего имущества в многоквартирных домах, расположенных на </w:t>
            </w:r>
            <w:proofErr w:type="gramStart"/>
            <w:r w:rsidRPr="006E187E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6E187E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  <w:r w:rsidRPr="006E1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1CC1" w:rsidRPr="00B67ACC" w:rsidTr="005C0764">
        <w:trPr>
          <w:cantSplit/>
          <w:trHeight w:val="24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B67ACC" w:rsidRDefault="00481CC1" w:rsidP="005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5E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675E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6E187E" w:rsidRDefault="00481CC1" w:rsidP="005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8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 w:rsidRPr="006E187E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 w:rsidRPr="006E187E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 (Далее по тексту МКУ «ГКМХ»)</w:t>
            </w:r>
          </w:p>
        </w:tc>
      </w:tr>
      <w:tr w:rsidR="00481CC1" w:rsidRPr="00B67ACC" w:rsidTr="005C0764">
        <w:trPr>
          <w:cantSplit/>
          <w:trHeight w:val="24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B67ACC" w:rsidRDefault="00481CC1" w:rsidP="005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7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481CC1" w:rsidRPr="00B67ACC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CC1" w:rsidRPr="00B67ACC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6E187E" w:rsidRDefault="00481CC1" w:rsidP="005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8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строительного контроля  в полном соответствии с требованиями действующего законодательства </w:t>
            </w:r>
          </w:p>
          <w:p w:rsidR="00481CC1" w:rsidRPr="006E187E" w:rsidRDefault="00481CC1" w:rsidP="005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CC1" w:rsidRPr="00211543" w:rsidTr="005C0764">
        <w:trPr>
          <w:cantSplit/>
          <w:trHeight w:val="24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211543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6E187E" w:rsidRDefault="00481CC1" w:rsidP="005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8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Выполнение работ по капитальному ремонту  объектов  в строгом соответствии с проектно-сметной документацией и </w:t>
            </w:r>
            <w:proofErr w:type="gramStart"/>
            <w:r w:rsidRPr="006E18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действующими</w:t>
            </w:r>
            <w:proofErr w:type="gramEnd"/>
            <w:r w:rsidRPr="006E18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СНиП</w:t>
            </w:r>
            <w:proofErr w:type="spellEnd"/>
            <w:r w:rsidRPr="006E18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1CC1" w:rsidRPr="006E187E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87E">
              <w:rPr>
                <w:rFonts w:ascii="Times New Roman" w:hAnsi="Times New Roman" w:cs="Times New Roman"/>
                <w:sz w:val="28"/>
                <w:szCs w:val="28"/>
              </w:rPr>
              <w:t xml:space="preserve"> 2. Соблюдение  подрядными организациями качества выполняемых работ по капитальному ремонту на объектах в полном соответствии со сметной документацией, строительными нормами и правилами</w:t>
            </w:r>
          </w:p>
        </w:tc>
      </w:tr>
      <w:tr w:rsidR="00481CC1" w:rsidRPr="00211543" w:rsidTr="005C0764">
        <w:trPr>
          <w:cantSplit/>
          <w:trHeight w:val="24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4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481CC1" w:rsidRPr="00211543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6E187E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87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капитальному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ремонту  в </w:t>
            </w:r>
            <w:r w:rsidRPr="006E187E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домах  в  соответствии с  краткосрочным планом реализации региональной программы капитального ремонта общего имущества в многоквартирных домах на </w:t>
            </w:r>
            <w:proofErr w:type="gramStart"/>
            <w:r w:rsidRPr="006E187E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6E187E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 Владимирской области, утвержденной постановлением Губернатора Владимирской области от 30.12.2013 № 1502 «Об утверждении региональной программы капитального ремонта на период с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87E">
              <w:rPr>
                <w:rFonts w:ascii="Times New Roman" w:hAnsi="Times New Roman" w:cs="Times New Roman"/>
                <w:sz w:val="28"/>
                <w:szCs w:val="28"/>
              </w:rPr>
              <w:t>по 2043 годы», утвержденным постановлением администрации ЗАТО г.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адужный Владимирской области от 27.05.2014 г. № 626</w:t>
            </w:r>
          </w:p>
        </w:tc>
      </w:tr>
      <w:tr w:rsidR="00481CC1" w:rsidRPr="00211543" w:rsidTr="005C0764">
        <w:trPr>
          <w:cantSplit/>
          <w:trHeight w:val="24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211543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5E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675E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70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481CC1" w:rsidRPr="0018670F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481CC1" w:rsidRPr="00211543" w:rsidTr="005C0764">
        <w:trPr>
          <w:cantSplit/>
          <w:trHeight w:val="97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5E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675E3">
              <w:rPr>
                <w:rFonts w:ascii="Times New Roman" w:hAnsi="Times New Roman" w:cs="Times New Roman"/>
                <w:sz w:val="28"/>
                <w:szCs w:val="28"/>
              </w:rPr>
              <w:t>программы,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1CC1" w:rsidRPr="00211543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6A768C" w:rsidRDefault="00481CC1" w:rsidP="005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7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CA3B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1122,15367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6A7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рублей, в том числе:</w:t>
            </w:r>
          </w:p>
          <w:p w:rsidR="00481CC1" w:rsidRDefault="00481CC1" w:rsidP="005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7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2015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506,17608</w:t>
            </w:r>
            <w:r w:rsidRPr="006A7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481CC1" w:rsidRPr="006A768C" w:rsidRDefault="00481CC1" w:rsidP="00CA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CA3B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615,97759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481CC1" w:rsidRPr="00211543" w:rsidTr="005C0764">
        <w:trPr>
          <w:cantSplit/>
          <w:trHeight w:val="72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211543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  </w:t>
            </w:r>
            <w:r w:rsidRPr="002115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программы и          </w:t>
            </w:r>
            <w:r w:rsidRPr="002115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C1" w:rsidRPr="006A768C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6A768C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домах -  отремонтированы крыши;</w:t>
            </w:r>
          </w:p>
          <w:p w:rsidR="00481CC1" w:rsidRPr="006A768C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</w:t>
            </w:r>
            <w:r w:rsidRPr="006A768C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домах – отремонтированы крыши и  внутридомовые инженерные системы;</w:t>
            </w:r>
          </w:p>
          <w:p w:rsidR="00481CC1" w:rsidRPr="006A768C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68C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768C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домах отремонтированы  фасады;</w:t>
            </w:r>
          </w:p>
          <w:p w:rsidR="00481CC1" w:rsidRPr="006A768C" w:rsidRDefault="00481CC1" w:rsidP="005C0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6A768C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домах  - отремонтированы  внутридомовые инженерные системы.</w:t>
            </w:r>
          </w:p>
        </w:tc>
      </w:tr>
    </w:tbl>
    <w:p w:rsidR="00481CC1" w:rsidRDefault="00481CC1" w:rsidP="00481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CC1" w:rsidRPr="00A54818" w:rsidRDefault="00481CC1" w:rsidP="00481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CC1" w:rsidRDefault="00481CC1" w:rsidP="00481C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1665">
        <w:rPr>
          <w:rFonts w:ascii="Times New Roman" w:hAnsi="Times New Roman" w:cs="Times New Roman"/>
          <w:sz w:val="28"/>
          <w:szCs w:val="28"/>
        </w:rPr>
        <w:t>Характеристика проблемы и обоснование необходимости решения ее программными методами</w:t>
      </w:r>
    </w:p>
    <w:p w:rsidR="00481CC1" w:rsidRPr="00DD1665" w:rsidRDefault="00481CC1" w:rsidP="00481CC1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481CC1" w:rsidRPr="001C71DD" w:rsidRDefault="00481CC1" w:rsidP="00481C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71DD">
        <w:rPr>
          <w:rFonts w:ascii="Times New Roman" w:hAnsi="Times New Roman" w:cs="Times New Roman"/>
          <w:sz w:val="28"/>
          <w:szCs w:val="28"/>
        </w:rPr>
        <w:t xml:space="preserve">На решение проблемы капитального ремонта многоквартирных домов направлено выполнение Федерального </w:t>
      </w:r>
      <w:hyperlink r:id="rId9" w:history="1">
        <w:r w:rsidRPr="001C71D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C71DD">
        <w:rPr>
          <w:rFonts w:ascii="Times New Roman" w:hAnsi="Times New Roman" w:cs="Times New Roman"/>
          <w:sz w:val="28"/>
          <w:szCs w:val="28"/>
        </w:rPr>
        <w:t xml:space="preserve"> от 21.07.2007 № 185-ФЗ «О Фонде содействия реформированию жилищно-коммунального хозяйства», в соответствии с которым разработана региональная программа  капитального ремонта  на период с 2014 по 2043 годы, </w:t>
      </w:r>
      <w:r w:rsidRPr="001C71DD">
        <w:rPr>
          <w:rFonts w:ascii="Times New Roman" w:hAnsi="Times New Roman" w:cs="Times New Roman"/>
          <w:color w:val="000000"/>
          <w:sz w:val="28"/>
          <w:szCs w:val="28"/>
        </w:rPr>
        <w:t>утвержденная постановлением Губернатора Владимирской области от 30.12.2013 № 1502 «Об утверждении региональной программы капитального ремонта на период с 2014 по 2043 годы».</w:t>
      </w:r>
      <w:proofErr w:type="gramEnd"/>
    </w:p>
    <w:p w:rsidR="00481CC1" w:rsidRPr="00F37A33" w:rsidRDefault="00481CC1" w:rsidP="00481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DD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региональной программы капитального ремонта </w:t>
      </w:r>
      <w:r w:rsidRPr="00F37A33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 на </w:t>
      </w:r>
      <w:proofErr w:type="gramStart"/>
      <w:r w:rsidRPr="00F37A3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37A33">
        <w:rPr>
          <w:rFonts w:ascii="Times New Roman" w:hAnsi="Times New Roman" w:cs="Times New Roman"/>
          <w:sz w:val="28"/>
          <w:szCs w:val="28"/>
        </w:rPr>
        <w:t xml:space="preserve">  ЗАТО г. </w:t>
      </w:r>
      <w:r w:rsidRPr="00F37A33">
        <w:rPr>
          <w:rFonts w:ascii="Times New Roman" w:hAnsi="Times New Roman" w:cs="Times New Roman"/>
          <w:color w:val="000000"/>
          <w:sz w:val="28"/>
          <w:szCs w:val="28"/>
        </w:rPr>
        <w:t xml:space="preserve">Радужный Владимирской области, утвержденной постановлением Губернатора Владимирской области от 30.12.2013 № 1502 «Об утверждении региональной программы капитального ремонта на период с 2014 по 2043 годы» и организации капитального ремонта многоквартирных домов с учетом мер государственной и муниципальной поддержки,  в соответствии со </w:t>
      </w:r>
      <w:hyperlink r:id="rId10" w:history="1">
        <w:r w:rsidRPr="00F37A33">
          <w:rPr>
            <w:rFonts w:ascii="Times New Roman" w:hAnsi="Times New Roman" w:cs="Times New Roman"/>
            <w:color w:val="000000"/>
            <w:sz w:val="28"/>
            <w:szCs w:val="28"/>
          </w:rPr>
          <w:t>статьей 168</w:t>
        </w:r>
      </w:hyperlink>
      <w:r w:rsidRPr="00F37A33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Федерации, </w:t>
      </w:r>
      <w:hyperlink r:id="rId11" w:history="1">
        <w:r w:rsidRPr="00F37A3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37A33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Владимирской области от 06.11.2013 № 121-ОЗ «Об организации проведения капитального ремонта общего имущества в многоквартирных домах, расположенных на территории Владимирской области» постановлением </w:t>
      </w:r>
      <w:proofErr w:type="gramStart"/>
      <w:r w:rsidRPr="00F37A3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 г. </w:t>
      </w:r>
      <w:r w:rsidRPr="00F37A33">
        <w:rPr>
          <w:rFonts w:ascii="Times New Roman" w:hAnsi="Times New Roman" w:cs="Times New Roman"/>
          <w:color w:val="000000"/>
          <w:sz w:val="28"/>
          <w:szCs w:val="28"/>
        </w:rPr>
        <w:t xml:space="preserve">Радужный от </w:t>
      </w:r>
      <w:r w:rsidRPr="00F37A33">
        <w:rPr>
          <w:rFonts w:ascii="Times New Roman" w:hAnsi="Times New Roman" w:cs="Times New Roman"/>
          <w:sz w:val="28"/>
          <w:szCs w:val="28"/>
        </w:rPr>
        <w:t>27.05.201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7A33">
        <w:rPr>
          <w:rFonts w:ascii="Times New Roman" w:hAnsi="Times New Roman" w:cs="Times New Roman"/>
          <w:sz w:val="28"/>
          <w:szCs w:val="28"/>
        </w:rPr>
        <w:t xml:space="preserve"> № 626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A3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  <w:r w:rsidRPr="00F37A33">
        <w:rPr>
          <w:rFonts w:ascii="Times New Roman" w:hAnsi="Times New Roman" w:cs="Times New Roman"/>
          <w:sz w:val="28"/>
          <w:szCs w:val="28"/>
        </w:rPr>
        <w:t>краткосрочный план реализации региональной программы капитального ремонта общего имущества в многоквартирных домах на территории 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краткосрочный план)</w:t>
      </w:r>
      <w:r w:rsidRPr="00F37A33">
        <w:rPr>
          <w:rFonts w:ascii="Times New Roman" w:hAnsi="Times New Roman" w:cs="Times New Roman"/>
          <w:sz w:val="28"/>
          <w:szCs w:val="28"/>
        </w:rPr>
        <w:t>.</w:t>
      </w:r>
    </w:p>
    <w:p w:rsidR="00481CC1" w:rsidRDefault="00481CC1" w:rsidP="0048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33">
        <w:rPr>
          <w:rFonts w:ascii="Times New Roman" w:hAnsi="Times New Roman" w:cs="Times New Roman"/>
          <w:sz w:val="28"/>
          <w:szCs w:val="28"/>
        </w:rPr>
        <w:t>Некоммерческой организацией «Фонд капитального ремонта многоквартирных домов Владимирской области» был проведен конкурсный отбор  организаций на осуществление строительного контроля при выполнении работ по капитальному ремонту  многоквартирных домов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CC1" w:rsidRDefault="00481CC1" w:rsidP="0048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7"/>
        <w:gridCol w:w="2695"/>
        <w:gridCol w:w="3838"/>
      </w:tblGrid>
      <w:tr w:rsidR="00481CC1" w:rsidRPr="006A768C" w:rsidTr="005C0764">
        <w:tc>
          <w:tcPr>
            <w:tcW w:w="3037" w:type="dxa"/>
          </w:tcPr>
          <w:p w:rsidR="00481CC1" w:rsidRPr="002D3BD6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D6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конкурса </w:t>
            </w:r>
          </w:p>
        </w:tc>
        <w:tc>
          <w:tcPr>
            <w:tcW w:w="2695" w:type="dxa"/>
          </w:tcPr>
          <w:p w:rsidR="00481CC1" w:rsidRPr="002D3BD6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D6">
              <w:rPr>
                <w:rFonts w:ascii="Times New Roman" w:hAnsi="Times New Roman" w:cs="Times New Roman"/>
                <w:sz w:val="28"/>
                <w:szCs w:val="28"/>
              </w:rPr>
              <w:t xml:space="preserve">Адреса многоквартирных </w:t>
            </w:r>
            <w:proofErr w:type="gramStart"/>
            <w:r w:rsidRPr="002D3BD6"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  <w:proofErr w:type="gramEnd"/>
            <w:r w:rsidRPr="002D3BD6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проводился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капитальный ремонт общего имущества </w:t>
            </w:r>
          </w:p>
        </w:tc>
        <w:tc>
          <w:tcPr>
            <w:tcW w:w="3838" w:type="dxa"/>
          </w:tcPr>
          <w:p w:rsidR="00481CC1" w:rsidRPr="002D3BD6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</w:t>
            </w:r>
            <w:r w:rsidR="00086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BD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осуществляющая  строительный контроль при выполнении  работ по капитальному ремонту </w:t>
            </w:r>
            <w:r w:rsidRPr="002D3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многоквартирных домов по Результатам конкурсных отборов</w:t>
            </w:r>
          </w:p>
        </w:tc>
      </w:tr>
      <w:tr w:rsidR="00481CC1" w:rsidRPr="00B75590" w:rsidTr="005C0764">
        <w:trPr>
          <w:trHeight w:val="352"/>
        </w:trPr>
        <w:tc>
          <w:tcPr>
            <w:tcW w:w="3037" w:type="dxa"/>
            <w:vMerge w:val="restart"/>
            <w:vAlign w:val="center"/>
          </w:tcPr>
          <w:p w:rsidR="00481CC1" w:rsidRPr="00B75590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января 2015 года</w:t>
            </w: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1</w:t>
            </w:r>
          </w:p>
        </w:tc>
        <w:tc>
          <w:tcPr>
            <w:tcW w:w="3838" w:type="dxa"/>
            <w:vMerge w:val="restart"/>
            <w:vAlign w:val="center"/>
          </w:tcPr>
          <w:p w:rsidR="00481CC1" w:rsidRPr="00B75590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«Городской комитет муниципального хозяйства»</w:t>
            </w:r>
          </w:p>
        </w:tc>
      </w:tr>
      <w:tr w:rsidR="00481CC1" w:rsidRPr="00B75590" w:rsidTr="005C0764">
        <w:trPr>
          <w:trHeight w:val="474"/>
        </w:trPr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д.2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rPr>
          <w:trHeight w:val="336"/>
        </w:trPr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д.8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28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rPr>
          <w:trHeight w:val="360"/>
        </w:trPr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д.32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rPr>
          <w:trHeight w:val="270"/>
        </w:trPr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д.11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д.10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17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19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30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д.2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3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5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11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12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13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17а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19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 xml:space="preserve">3 квартал, </w:t>
            </w:r>
            <w:proofErr w:type="spellStart"/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75590">
              <w:rPr>
                <w:rFonts w:ascii="Times New Roman" w:hAnsi="Times New Roman" w:cs="Times New Roman"/>
                <w:sz w:val="28"/>
                <w:szCs w:val="28"/>
              </w:rPr>
              <w:t xml:space="preserve"> .21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rPr>
          <w:trHeight w:val="654"/>
        </w:trPr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д.6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rPr>
          <w:trHeight w:val="370"/>
        </w:trPr>
        <w:tc>
          <w:tcPr>
            <w:tcW w:w="3037" w:type="dxa"/>
            <w:vAlign w:val="center"/>
          </w:tcPr>
          <w:p w:rsidR="00481CC1" w:rsidRPr="00B75590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Align w:val="center"/>
          </w:tcPr>
          <w:p w:rsidR="00481CC1" w:rsidRPr="00B75590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rPr>
          <w:trHeight w:val="370"/>
        </w:trPr>
        <w:tc>
          <w:tcPr>
            <w:tcW w:w="3037" w:type="dxa"/>
            <w:vMerge w:val="restart"/>
            <w:vAlign w:val="center"/>
          </w:tcPr>
          <w:p w:rsidR="00481CC1" w:rsidRPr="00B75590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25 апреля 2015 года</w:t>
            </w: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д.5</w:t>
            </w:r>
          </w:p>
        </w:tc>
        <w:tc>
          <w:tcPr>
            <w:tcW w:w="3838" w:type="dxa"/>
            <w:vMerge w:val="restart"/>
            <w:vAlign w:val="center"/>
          </w:tcPr>
          <w:p w:rsidR="00481CC1" w:rsidRPr="00B75590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«Муниципальное казенное учреждение «Городской комитет муниципального хозяйства»                          (далее – МКУ «ГКМХ»)</w:t>
            </w: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д.15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д.18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д.20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23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26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27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29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31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1 квартал, д. 33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7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8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14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>3 квартал, д. 26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 w:val="restart"/>
            <w:vAlign w:val="center"/>
          </w:tcPr>
          <w:p w:rsidR="00481CC1" w:rsidRPr="00B75590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 2016</w:t>
            </w: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д.12</w:t>
            </w:r>
          </w:p>
        </w:tc>
        <w:tc>
          <w:tcPr>
            <w:tcW w:w="3838" w:type="dxa"/>
            <w:vMerge w:val="restart"/>
            <w:vAlign w:val="center"/>
          </w:tcPr>
          <w:p w:rsidR="00481CC1" w:rsidRPr="00B75590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r w:rsidRPr="00B75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 12а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д.16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д.17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 19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 25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 34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 35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 37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квартал, д. 6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10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12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15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16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17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23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25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28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35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35а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4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C1" w:rsidRPr="00B75590" w:rsidTr="005C0764">
        <w:tc>
          <w:tcPr>
            <w:tcW w:w="3037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квартал, д. 9</w:t>
            </w:r>
          </w:p>
        </w:tc>
        <w:tc>
          <w:tcPr>
            <w:tcW w:w="3838" w:type="dxa"/>
            <w:vMerge/>
          </w:tcPr>
          <w:p w:rsidR="00481CC1" w:rsidRPr="00B75590" w:rsidRDefault="00481CC1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CC1" w:rsidRPr="00B75590" w:rsidRDefault="00481CC1" w:rsidP="0048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CC1" w:rsidRPr="00B75590" w:rsidRDefault="00481CC1" w:rsidP="00481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590">
        <w:rPr>
          <w:rFonts w:ascii="Times New Roman" w:hAnsi="Times New Roman" w:cs="Times New Roman"/>
          <w:sz w:val="28"/>
          <w:szCs w:val="28"/>
        </w:rPr>
        <w:t xml:space="preserve">          Актуальность разработки Программы обусловлена как социальными, так и  экономическими факторами.  Так как МКУ «ГКМХ» является муниципальным казенным учреждением, все доходы, полученные в результате выполнения работ по заключенным возмездным договорам, перечисляются в доход местного бюджета</w:t>
      </w:r>
      <w:r>
        <w:rPr>
          <w:rFonts w:ascii="Times New Roman" w:hAnsi="Times New Roman" w:cs="Times New Roman"/>
          <w:sz w:val="28"/>
          <w:szCs w:val="28"/>
        </w:rPr>
        <w:t>.  С</w:t>
      </w:r>
      <w:r w:rsidRPr="00B75590">
        <w:rPr>
          <w:rFonts w:ascii="Times New Roman" w:hAnsi="Times New Roman" w:cs="Times New Roman"/>
          <w:sz w:val="28"/>
          <w:szCs w:val="28"/>
        </w:rPr>
        <w:t xml:space="preserve">ледовательно, для выполнения программных мероприятий необходимо привлечение бюджетных финансовых </w:t>
      </w:r>
      <w:proofErr w:type="spellStart"/>
      <w:r w:rsidRPr="00B75590">
        <w:rPr>
          <w:rFonts w:ascii="Times New Roman" w:hAnsi="Times New Roman" w:cs="Times New Roman"/>
          <w:sz w:val="28"/>
          <w:szCs w:val="28"/>
        </w:rPr>
        <w:t>средств</w:t>
      </w:r>
      <w:proofErr w:type="gramStart"/>
      <w:r w:rsidRPr="00B7559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75590">
        <w:rPr>
          <w:rFonts w:ascii="Times New Roman" w:hAnsi="Times New Roman" w:cs="Times New Roman"/>
          <w:sz w:val="28"/>
          <w:szCs w:val="28"/>
        </w:rPr>
        <w:t>бъем</w:t>
      </w:r>
      <w:proofErr w:type="spellEnd"/>
      <w:r w:rsidRPr="00B75590">
        <w:rPr>
          <w:rFonts w:ascii="Times New Roman" w:hAnsi="Times New Roman" w:cs="Times New Roman"/>
          <w:sz w:val="28"/>
          <w:szCs w:val="28"/>
        </w:rPr>
        <w:t xml:space="preserve"> которых  не должен превышать доходов, полученных МКУ «ГКМХ» за услуги  по   строительному  контролю при выполнении работ по капитальному ремонту  многоквартирных домов.</w:t>
      </w:r>
    </w:p>
    <w:p w:rsidR="00481CC1" w:rsidRPr="00B75590" w:rsidRDefault="00481CC1" w:rsidP="00481C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590">
        <w:rPr>
          <w:rFonts w:ascii="Times New Roman" w:hAnsi="Times New Roman" w:cs="Times New Roman"/>
          <w:color w:val="000000"/>
          <w:sz w:val="28"/>
          <w:szCs w:val="28"/>
        </w:rPr>
        <w:t>2.Основные цели и задачи подпрограммы,</w:t>
      </w:r>
      <w:r w:rsidRPr="00B75590">
        <w:rPr>
          <w:rFonts w:ascii="Times New Roman" w:hAnsi="Times New Roman" w:cs="Times New Roman"/>
          <w:sz w:val="28"/>
          <w:szCs w:val="28"/>
        </w:rPr>
        <w:t xml:space="preserve"> сроки и этапы ее реализации</w:t>
      </w:r>
    </w:p>
    <w:p w:rsidR="00481CC1" w:rsidRPr="00B75590" w:rsidRDefault="00481CC1" w:rsidP="00481C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1CC1" w:rsidRPr="00EB184C" w:rsidRDefault="00481CC1" w:rsidP="00481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590">
        <w:rPr>
          <w:rFonts w:ascii="Times New Roman" w:hAnsi="Times New Roman" w:cs="Times New Roman"/>
          <w:sz w:val="28"/>
          <w:szCs w:val="28"/>
        </w:rPr>
        <w:t xml:space="preserve">       Исходя из анализа существующего положения дел в жилищном </w:t>
      </w:r>
      <w:proofErr w:type="gramStart"/>
      <w:r w:rsidRPr="00B75590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B75590">
        <w:rPr>
          <w:rFonts w:ascii="Times New Roman" w:hAnsi="Times New Roman" w:cs="Times New Roman"/>
          <w:sz w:val="28"/>
          <w:szCs w:val="28"/>
        </w:rPr>
        <w:t xml:space="preserve"> ЗАТО г. Радужны</w:t>
      </w:r>
      <w:r w:rsidRPr="00EB184C">
        <w:rPr>
          <w:rFonts w:ascii="Times New Roman" w:hAnsi="Times New Roman" w:cs="Times New Roman"/>
          <w:sz w:val="28"/>
          <w:szCs w:val="28"/>
        </w:rPr>
        <w:t xml:space="preserve">й Владимирской области и определенных целей Программы, направленных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B184C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существление строительного контроля  в полном соответствии с требованиями действующего законодательства,  </w:t>
      </w:r>
      <w:r w:rsidRPr="00EB184C">
        <w:rPr>
          <w:rFonts w:ascii="Times New Roman" w:hAnsi="Times New Roman" w:cs="Times New Roman"/>
          <w:sz w:val="28"/>
          <w:szCs w:val="28"/>
        </w:rPr>
        <w:t>основными ее направлениями являются:</w:t>
      </w:r>
    </w:p>
    <w:p w:rsidR="00481CC1" w:rsidRPr="00EB184C" w:rsidRDefault="00481CC1" w:rsidP="0048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84C">
        <w:rPr>
          <w:rFonts w:ascii="Times New Roman" w:hAnsi="Times New Roman" w:cs="Times New Roman"/>
          <w:sz w:val="28"/>
          <w:szCs w:val="28"/>
        </w:rPr>
        <w:t>-комплекс мер по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4C">
        <w:rPr>
          <w:rFonts w:ascii="Times New Roman" w:hAnsi="Times New Roman" w:cs="Times New Roman"/>
          <w:sz w:val="28"/>
          <w:szCs w:val="28"/>
        </w:rPr>
        <w:t>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(ремонт </w:t>
      </w:r>
      <w:r w:rsidRPr="00EB184C">
        <w:rPr>
          <w:rFonts w:ascii="Times New Roman" w:hAnsi="Times New Roman" w:cs="Times New Roman"/>
          <w:sz w:val="28"/>
          <w:szCs w:val="28"/>
        </w:rPr>
        <w:t xml:space="preserve">крыш, фасадов, подвальных помещений, внутридомовых инженерных систем </w:t>
      </w:r>
      <w:proofErr w:type="spellStart"/>
      <w:r w:rsidRPr="00EB184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EB184C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EB18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1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84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B184C">
        <w:rPr>
          <w:rFonts w:ascii="Times New Roman" w:hAnsi="Times New Roman" w:cs="Times New Roman"/>
          <w:sz w:val="28"/>
          <w:szCs w:val="28"/>
        </w:rPr>
        <w:t>-, водоснабжения, водоотведе</w:t>
      </w:r>
      <w:r>
        <w:rPr>
          <w:rFonts w:ascii="Times New Roman" w:hAnsi="Times New Roman" w:cs="Times New Roman"/>
          <w:sz w:val="28"/>
          <w:szCs w:val="28"/>
        </w:rPr>
        <w:t>ния и прочее)</w:t>
      </w:r>
      <w:r w:rsidRPr="00EB184C">
        <w:rPr>
          <w:rFonts w:ascii="Times New Roman" w:hAnsi="Times New Roman" w:cs="Times New Roman"/>
          <w:sz w:val="28"/>
          <w:szCs w:val="28"/>
        </w:rPr>
        <w:t>;</w:t>
      </w:r>
    </w:p>
    <w:p w:rsidR="00481CC1" w:rsidRDefault="00481CC1" w:rsidP="0048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84C">
        <w:rPr>
          <w:rFonts w:ascii="Times New Roman" w:hAnsi="Times New Roman" w:cs="Times New Roman"/>
          <w:sz w:val="28"/>
          <w:szCs w:val="28"/>
        </w:rPr>
        <w:t>- стимулирование собственников жилых помещений многоквартирных домов к объединению в товарищества собственников жилья;</w:t>
      </w:r>
    </w:p>
    <w:p w:rsidR="00481CC1" w:rsidRDefault="00481CC1" w:rsidP="0048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184C">
        <w:rPr>
          <w:rFonts w:ascii="Times New Roman" w:hAnsi="Times New Roman" w:cs="Times New Roman"/>
          <w:sz w:val="28"/>
          <w:szCs w:val="28"/>
        </w:rPr>
        <w:t xml:space="preserve">развитие конкурентной среды на рынке управления </w:t>
      </w:r>
      <w:r>
        <w:rPr>
          <w:rFonts w:ascii="Times New Roman" w:hAnsi="Times New Roman" w:cs="Times New Roman"/>
          <w:sz w:val="28"/>
          <w:szCs w:val="28"/>
        </w:rPr>
        <w:t>многоквартирными домами.</w:t>
      </w:r>
    </w:p>
    <w:p w:rsidR="00481CC1" w:rsidRDefault="00481CC1" w:rsidP="0048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реализации подпрограммы 2015-2016 годы, 1 этап – 2015 год; 2 этап – 2016 г.</w:t>
      </w:r>
    </w:p>
    <w:p w:rsidR="00481CC1" w:rsidRPr="00E53ED7" w:rsidRDefault="00481CC1" w:rsidP="00481CC1">
      <w:pPr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3ED7">
        <w:rPr>
          <w:rFonts w:ascii="Times New Roman" w:hAnsi="Times New Roman" w:cs="Times New Roman"/>
          <w:sz w:val="28"/>
          <w:szCs w:val="28"/>
        </w:rPr>
        <w:t xml:space="preserve">3. 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3ED7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="40" w:tblpY="13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9"/>
        <w:gridCol w:w="2201"/>
        <w:gridCol w:w="709"/>
        <w:gridCol w:w="1559"/>
        <w:gridCol w:w="567"/>
        <w:gridCol w:w="850"/>
        <w:gridCol w:w="1418"/>
        <w:gridCol w:w="567"/>
        <w:gridCol w:w="1417"/>
      </w:tblGrid>
      <w:tr w:rsidR="00481CC1" w:rsidRPr="00E53ED7" w:rsidTr="005C0764">
        <w:trPr>
          <w:trHeight w:val="200"/>
        </w:trPr>
        <w:tc>
          <w:tcPr>
            <w:tcW w:w="459" w:type="dxa"/>
            <w:vMerge w:val="restart"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1" w:type="dxa"/>
            <w:vMerge w:val="restart"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vMerge w:val="restart"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Исполнители,</w:t>
            </w:r>
          </w:p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 xml:space="preserve">за реализацию </w:t>
            </w:r>
          </w:p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481CC1" w:rsidRPr="00E53ED7" w:rsidTr="005C0764">
        <w:trPr>
          <w:trHeight w:val="268"/>
        </w:trPr>
        <w:tc>
          <w:tcPr>
            <w:tcW w:w="459" w:type="dxa"/>
            <w:vMerge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  <w:vMerge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Собственных доходов: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CC1" w:rsidRPr="00E53ED7" w:rsidTr="005C0764">
        <w:trPr>
          <w:trHeight w:val="335"/>
        </w:trPr>
        <w:tc>
          <w:tcPr>
            <w:tcW w:w="459" w:type="dxa"/>
            <w:vMerge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  <w:vMerge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Субсидии,</w:t>
            </w:r>
          </w:p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</w:t>
            </w:r>
          </w:p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трансферты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ED7">
              <w:rPr>
                <w:rFonts w:ascii="Times New Roman" w:hAnsi="Times New Roman" w:cs="Times New Roman"/>
                <w:sz w:val="20"/>
                <w:szCs w:val="20"/>
              </w:rPr>
              <w:t>Другие собственные доходы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81CC1" w:rsidRPr="00E53ED7" w:rsidRDefault="00481CC1" w:rsidP="005C0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CC1" w:rsidRPr="00E53ED7" w:rsidTr="005C0764">
        <w:trPr>
          <w:trHeight w:val="2125"/>
        </w:trPr>
        <w:tc>
          <w:tcPr>
            <w:tcW w:w="459" w:type="dxa"/>
            <w:tcBorders>
              <w:right w:val="single" w:sz="4" w:space="0" w:color="auto"/>
            </w:tcBorders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76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81CC1" w:rsidRPr="004E589A" w:rsidRDefault="00481CC1" w:rsidP="005C07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89A">
              <w:rPr>
                <w:rFonts w:ascii="Times New Roman" w:hAnsi="Times New Roman" w:cs="Times New Roman"/>
                <w:sz w:val="18"/>
                <w:szCs w:val="18"/>
              </w:rPr>
              <w:t xml:space="preserve">Ведомственная программа «Строительный контроль при выполнении работ по капитальному ремонту  общего имущества в многоквартирных домах, расположенных на </w:t>
            </w:r>
            <w:proofErr w:type="gramStart"/>
            <w:r w:rsidRPr="004E589A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proofErr w:type="gramEnd"/>
            <w:r w:rsidRPr="004E589A">
              <w:rPr>
                <w:rFonts w:ascii="Times New Roman" w:hAnsi="Times New Roman" w:cs="Times New Roman"/>
                <w:sz w:val="18"/>
                <w:szCs w:val="18"/>
              </w:rPr>
              <w:t xml:space="preserve"> ЗАТО г. Радужный»</w:t>
            </w:r>
          </w:p>
        </w:tc>
        <w:tc>
          <w:tcPr>
            <w:tcW w:w="709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CC1" w:rsidRPr="00E53ED7" w:rsidTr="005C0764">
        <w:tc>
          <w:tcPr>
            <w:tcW w:w="459" w:type="dxa"/>
            <w:tcBorders>
              <w:right w:val="single" w:sz="4" w:space="0" w:color="auto"/>
            </w:tcBorders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481CC1" w:rsidRPr="006A768C" w:rsidRDefault="00481CC1" w:rsidP="005C07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2015-2016 г.г.</w:t>
            </w:r>
          </w:p>
        </w:tc>
        <w:tc>
          <w:tcPr>
            <w:tcW w:w="709" w:type="dxa"/>
            <w:vAlign w:val="center"/>
          </w:tcPr>
          <w:p w:rsidR="00481CC1" w:rsidRPr="000E6604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81CC1" w:rsidRPr="006A768C" w:rsidRDefault="00CA3B44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1122,15367</w:t>
            </w:r>
          </w:p>
        </w:tc>
        <w:tc>
          <w:tcPr>
            <w:tcW w:w="567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1CC1" w:rsidRPr="006A768C" w:rsidRDefault="00CA3B44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1122,15367</w:t>
            </w:r>
          </w:p>
        </w:tc>
        <w:tc>
          <w:tcPr>
            <w:tcW w:w="567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68C">
              <w:rPr>
                <w:rFonts w:ascii="Times New Roman" w:hAnsi="Times New Roman" w:cs="Times New Roman"/>
                <w:sz w:val="18"/>
                <w:szCs w:val="18"/>
              </w:rPr>
              <w:t>МКУГКМХ</w:t>
            </w:r>
          </w:p>
        </w:tc>
      </w:tr>
      <w:tr w:rsidR="00481CC1" w:rsidRPr="00E53ED7" w:rsidTr="005C0764">
        <w:trPr>
          <w:trHeight w:val="673"/>
        </w:trPr>
        <w:tc>
          <w:tcPr>
            <w:tcW w:w="459" w:type="dxa"/>
            <w:tcBorders>
              <w:right w:val="single" w:sz="4" w:space="0" w:color="auto"/>
            </w:tcBorders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  <w:vMerge w:val="restart"/>
            <w:tcBorders>
              <w:left w:val="single" w:sz="4" w:space="0" w:color="auto"/>
            </w:tcBorders>
            <w:vAlign w:val="center"/>
          </w:tcPr>
          <w:p w:rsidR="00481CC1" w:rsidRPr="006A768C" w:rsidRDefault="00481CC1" w:rsidP="005C07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709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506,1760</w:t>
            </w:r>
            <w:r w:rsidR="00832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506,1760</w:t>
            </w:r>
            <w:r w:rsidR="00832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CC1" w:rsidRPr="00E53ED7" w:rsidTr="005C0764">
        <w:tc>
          <w:tcPr>
            <w:tcW w:w="459" w:type="dxa"/>
            <w:tcBorders>
              <w:right w:val="single" w:sz="4" w:space="0" w:color="auto"/>
            </w:tcBorders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</w:tcBorders>
            <w:vAlign w:val="center"/>
          </w:tcPr>
          <w:p w:rsidR="00481CC1" w:rsidRDefault="00481CC1" w:rsidP="005C07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1CC1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:rsidR="00481CC1" w:rsidRDefault="00CA3B44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615,97759</w:t>
            </w:r>
          </w:p>
        </w:tc>
        <w:tc>
          <w:tcPr>
            <w:tcW w:w="567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1CC1" w:rsidRDefault="00CA3B44" w:rsidP="005C07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615,97759</w:t>
            </w:r>
          </w:p>
        </w:tc>
        <w:tc>
          <w:tcPr>
            <w:tcW w:w="567" w:type="dxa"/>
          </w:tcPr>
          <w:p w:rsidR="00481CC1" w:rsidRPr="006A768C" w:rsidRDefault="00481CC1" w:rsidP="005C076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1CC1" w:rsidRPr="006A768C" w:rsidRDefault="00481CC1" w:rsidP="005C076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1CC1" w:rsidRDefault="00481CC1" w:rsidP="00481CC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481CC1" w:rsidRDefault="00481CC1" w:rsidP="00481CC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0B40">
        <w:rPr>
          <w:rFonts w:ascii="Times New Roman" w:hAnsi="Times New Roman" w:cs="Times New Roman"/>
          <w:sz w:val="28"/>
          <w:szCs w:val="28"/>
        </w:rPr>
        <w:t xml:space="preserve">4. Мероприятия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A0B40">
        <w:rPr>
          <w:rFonts w:ascii="Times New Roman" w:hAnsi="Times New Roman" w:cs="Times New Roman"/>
          <w:sz w:val="28"/>
          <w:szCs w:val="28"/>
        </w:rPr>
        <w:t>программы</w:t>
      </w:r>
    </w:p>
    <w:p w:rsidR="00481CC1" w:rsidRPr="000A0B40" w:rsidRDefault="00481CC1" w:rsidP="00481CC1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0A0B4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A0B40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ммы представлен в приложении №1 к подпрограмме.</w:t>
      </w:r>
    </w:p>
    <w:p w:rsidR="00481CC1" w:rsidRPr="00EE08F9" w:rsidRDefault="00481CC1" w:rsidP="00481CC1">
      <w:pPr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 xml:space="preserve">5. Оценка эффективности и прогноз ожидаемых социальных, экономических и экологических результатов от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E08F9">
        <w:rPr>
          <w:rFonts w:ascii="Times New Roman" w:hAnsi="Times New Roman" w:cs="Times New Roman"/>
          <w:sz w:val="28"/>
          <w:szCs w:val="28"/>
        </w:rPr>
        <w:t>программы</w:t>
      </w:r>
    </w:p>
    <w:p w:rsidR="00481CC1" w:rsidRPr="00EE08F9" w:rsidRDefault="00481CC1" w:rsidP="00481CC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 xml:space="preserve">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08F9">
        <w:rPr>
          <w:rFonts w:ascii="Times New Roman" w:hAnsi="Times New Roman" w:cs="Times New Roman"/>
          <w:sz w:val="28"/>
          <w:szCs w:val="28"/>
        </w:rPr>
        <w:t>рограммы основной эффект от выполнения ее мероприятий имеет социальную направленность:</w:t>
      </w:r>
    </w:p>
    <w:p w:rsidR="00481CC1" w:rsidRPr="00EE08F9" w:rsidRDefault="00481CC1" w:rsidP="00481CC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>- улучшаются условия проживания граждан;</w:t>
      </w:r>
    </w:p>
    <w:p w:rsidR="00481CC1" w:rsidRPr="00EE08F9" w:rsidRDefault="00481CC1" w:rsidP="00481CC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>- обеспечивается сохранность многоквартирных домов;</w:t>
      </w:r>
    </w:p>
    <w:p w:rsidR="00481CC1" w:rsidRPr="00EE08F9" w:rsidRDefault="00481CC1" w:rsidP="00481CC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>- повышается эффективность эксплуатации зданий;</w:t>
      </w:r>
    </w:p>
    <w:p w:rsidR="00481CC1" w:rsidRPr="00EE08F9" w:rsidRDefault="00481CC1" w:rsidP="00481CC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 xml:space="preserve">- улучшается внешний </w:t>
      </w:r>
      <w:proofErr w:type="gramStart"/>
      <w:r w:rsidRPr="00EE08F9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EE08F9">
        <w:rPr>
          <w:rFonts w:ascii="Times New Roman" w:hAnsi="Times New Roman" w:cs="Times New Roman"/>
          <w:sz w:val="28"/>
          <w:szCs w:val="28"/>
        </w:rPr>
        <w:t xml:space="preserve"> жилых зданий;</w:t>
      </w:r>
    </w:p>
    <w:p w:rsidR="00481CC1" w:rsidRPr="00EE08F9" w:rsidRDefault="00481CC1" w:rsidP="00481CC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>- увеличивается надежность функционирования систем инженерно-технического обеспечения, что снижает потери ресурсов внутри дома и позволяет сэкономить средства собственников жилых помещен</w:t>
      </w:r>
      <w:r>
        <w:rPr>
          <w:rFonts w:ascii="Times New Roman" w:hAnsi="Times New Roman" w:cs="Times New Roman"/>
          <w:sz w:val="28"/>
          <w:szCs w:val="28"/>
        </w:rPr>
        <w:t>ий по оплате коммунальных услуг.</w:t>
      </w:r>
    </w:p>
    <w:p w:rsidR="00481CC1" w:rsidRDefault="00481CC1" w:rsidP="00481CC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lastRenderedPageBreak/>
        <w:t>Планируемые показатели</w:t>
      </w:r>
    </w:p>
    <w:p w:rsidR="00481CC1" w:rsidRPr="00EE08F9" w:rsidRDefault="00481CC1" w:rsidP="00481CC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E08F9">
        <w:rPr>
          <w:rFonts w:ascii="Times New Roman" w:hAnsi="Times New Roman" w:cs="Times New Roman"/>
          <w:sz w:val="28"/>
          <w:szCs w:val="28"/>
        </w:rPr>
        <w:t>программы по проведению</w:t>
      </w:r>
    </w:p>
    <w:p w:rsidR="00481CC1" w:rsidRPr="00EE08F9" w:rsidRDefault="00481CC1" w:rsidP="00481C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>капитальног</w:t>
      </w:r>
      <w:r>
        <w:rPr>
          <w:rFonts w:ascii="Times New Roman" w:hAnsi="Times New Roman" w:cs="Times New Roman"/>
          <w:sz w:val="28"/>
          <w:szCs w:val="28"/>
        </w:rPr>
        <w:t>о ремонта многоквартирных домов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1889"/>
        <w:gridCol w:w="1296"/>
        <w:gridCol w:w="2153"/>
        <w:gridCol w:w="1830"/>
        <w:gridCol w:w="1996"/>
      </w:tblGrid>
      <w:tr w:rsidR="00481CC1" w:rsidRPr="00DA6257" w:rsidTr="005C0764">
        <w:trPr>
          <w:trHeight w:val="1946"/>
        </w:trPr>
        <w:tc>
          <w:tcPr>
            <w:tcW w:w="513" w:type="dxa"/>
            <w:vMerge w:val="restart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 w:rsidRPr="003D51C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D51C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51CA">
              <w:rPr>
                <w:rFonts w:ascii="Times New Roman" w:hAnsi="Times New Roman" w:cs="Times New Roman"/>
              </w:rPr>
              <w:t>/</w:t>
            </w:r>
            <w:proofErr w:type="spellStart"/>
            <w:r w:rsidRPr="003D51C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9" w:type="dxa"/>
            <w:vMerge w:val="restart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 w:rsidRPr="003D51CA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36" w:type="dxa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 w:rsidRPr="003D51CA"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2153" w:type="dxa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 w:rsidRPr="003D51CA">
              <w:rPr>
                <w:rFonts w:ascii="Times New Roman" w:hAnsi="Times New Roman" w:cs="Times New Roman"/>
              </w:rPr>
              <w:t>Количество жителей, зарегистрированных в МКД, на дату утверждения программы</w:t>
            </w:r>
          </w:p>
        </w:tc>
        <w:tc>
          <w:tcPr>
            <w:tcW w:w="1871" w:type="dxa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 w:rsidRPr="003D51CA">
              <w:rPr>
                <w:rFonts w:ascii="Times New Roman" w:hAnsi="Times New Roman" w:cs="Times New Roman"/>
              </w:rPr>
              <w:t>Количество МКД</w:t>
            </w:r>
          </w:p>
          <w:p w:rsidR="00481CC1" w:rsidRPr="003D51CA" w:rsidRDefault="00481CC1" w:rsidP="005C0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 w:rsidRPr="003D51CA">
              <w:rPr>
                <w:rFonts w:ascii="Times New Roman" w:hAnsi="Times New Roman" w:cs="Times New Roman"/>
              </w:rPr>
              <w:t>Стоимость капитального ремонта</w:t>
            </w:r>
          </w:p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CC1" w:rsidRPr="00DA6257" w:rsidTr="005C0764">
        <w:trPr>
          <w:cantSplit/>
          <w:trHeight w:val="269"/>
        </w:trPr>
        <w:tc>
          <w:tcPr>
            <w:tcW w:w="513" w:type="dxa"/>
            <w:vMerge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D51CA">
              <w:rPr>
                <w:rFonts w:ascii="Times New Roman" w:hAnsi="Times New Roman" w:cs="Times New Roman"/>
              </w:rPr>
              <w:t>в. м</w:t>
            </w:r>
          </w:p>
        </w:tc>
        <w:tc>
          <w:tcPr>
            <w:tcW w:w="2153" w:type="dxa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D51CA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871" w:type="dxa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3D51CA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014" w:type="dxa"/>
          </w:tcPr>
          <w:p w:rsidR="00481CC1" w:rsidRPr="003D51CA" w:rsidRDefault="00481CC1" w:rsidP="005C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481CC1" w:rsidRPr="006A768C" w:rsidTr="005C0764">
        <w:trPr>
          <w:cantSplit/>
          <w:trHeight w:val="577"/>
        </w:trPr>
        <w:tc>
          <w:tcPr>
            <w:tcW w:w="513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481CC1" w:rsidRPr="006A768C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C">
              <w:rPr>
                <w:rFonts w:ascii="Times New Roman" w:hAnsi="Times New Roman" w:cs="Times New Roman"/>
                <w:sz w:val="24"/>
                <w:szCs w:val="24"/>
              </w:rPr>
              <w:t xml:space="preserve">ЗАТО  г. </w:t>
            </w:r>
            <w:proofErr w:type="gramStart"/>
            <w:r w:rsidRPr="006A768C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6A768C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</w:p>
          <w:p w:rsidR="00481CC1" w:rsidRPr="006A768C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36" w:type="dxa"/>
          </w:tcPr>
          <w:p w:rsidR="00481CC1" w:rsidRPr="006A768C" w:rsidRDefault="0099650E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358 955,15</w:t>
            </w:r>
          </w:p>
        </w:tc>
        <w:tc>
          <w:tcPr>
            <w:tcW w:w="2153" w:type="dxa"/>
          </w:tcPr>
          <w:p w:rsidR="00481CC1" w:rsidRPr="006A768C" w:rsidRDefault="00140B4D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15877</w:t>
            </w:r>
          </w:p>
        </w:tc>
        <w:tc>
          <w:tcPr>
            <w:tcW w:w="1871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</w:tcPr>
          <w:p w:rsidR="00481CC1" w:rsidRPr="006A768C" w:rsidRDefault="00140B4D" w:rsidP="005C076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76 627,24561</w:t>
            </w:r>
          </w:p>
        </w:tc>
      </w:tr>
      <w:tr w:rsidR="00481CC1" w:rsidRPr="006A768C" w:rsidTr="005C0764">
        <w:trPr>
          <w:cantSplit/>
          <w:trHeight w:val="577"/>
        </w:trPr>
        <w:tc>
          <w:tcPr>
            <w:tcW w:w="513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81CC1" w:rsidRPr="006A768C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C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краткосрочному плану 2014 года </w:t>
            </w:r>
          </w:p>
        </w:tc>
        <w:tc>
          <w:tcPr>
            <w:tcW w:w="1236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110487,01</w:t>
            </w:r>
          </w:p>
        </w:tc>
        <w:tc>
          <w:tcPr>
            <w:tcW w:w="2153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4898</w:t>
            </w:r>
          </w:p>
        </w:tc>
        <w:tc>
          <w:tcPr>
            <w:tcW w:w="1871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</w:tcPr>
          <w:p w:rsidR="00481CC1" w:rsidRPr="006A768C" w:rsidRDefault="00481CC1" w:rsidP="005C076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19328,54521</w:t>
            </w:r>
          </w:p>
        </w:tc>
      </w:tr>
      <w:tr w:rsidR="00481CC1" w:rsidRPr="006A768C" w:rsidTr="005C0764">
        <w:trPr>
          <w:cantSplit/>
          <w:trHeight w:val="783"/>
        </w:trPr>
        <w:tc>
          <w:tcPr>
            <w:tcW w:w="513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81CC1" w:rsidRPr="006A768C" w:rsidRDefault="00481CC1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C">
              <w:rPr>
                <w:rFonts w:ascii="Times New Roman" w:hAnsi="Times New Roman" w:cs="Times New Roman"/>
                <w:sz w:val="24"/>
                <w:szCs w:val="24"/>
              </w:rPr>
              <w:t>По краткосрочному плану 2015 года</w:t>
            </w:r>
          </w:p>
        </w:tc>
        <w:tc>
          <w:tcPr>
            <w:tcW w:w="1236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97426,16</w:t>
            </w:r>
          </w:p>
        </w:tc>
        <w:tc>
          <w:tcPr>
            <w:tcW w:w="2153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4521</w:t>
            </w:r>
          </w:p>
        </w:tc>
        <w:tc>
          <w:tcPr>
            <w:tcW w:w="1871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4" w:type="dxa"/>
          </w:tcPr>
          <w:p w:rsidR="00481CC1" w:rsidRPr="006A768C" w:rsidRDefault="00481CC1" w:rsidP="005C076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14809,54806</w:t>
            </w:r>
          </w:p>
        </w:tc>
      </w:tr>
      <w:tr w:rsidR="00481CC1" w:rsidRPr="006A768C" w:rsidTr="005C0764">
        <w:trPr>
          <w:cantSplit/>
          <w:trHeight w:val="783"/>
        </w:trPr>
        <w:tc>
          <w:tcPr>
            <w:tcW w:w="513" w:type="dxa"/>
          </w:tcPr>
          <w:p w:rsidR="00481CC1" w:rsidRPr="006A768C" w:rsidRDefault="00481CC1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81CC1" w:rsidRPr="006A768C" w:rsidRDefault="00481CC1" w:rsidP="00F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C">
              <w:rPr>
                <w:rFonts w:ascii="Times New Roman" w:hAnsi="Times New Roman" w:cs="Times New Roman"/>
                <w:sz w:val="24"/>
                <w:szCs w:val="24"/>
              </w:rPr>
              <w:t>По краткосрочному плану 201</w:t>
            </w:r>
            <w:r w:rsidR="00F01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76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36" w:type="dxa"/>
          </w:tcPr>
          <w:p w:rsidR="00481CC1" w:rsidRDefault="00140B4D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151041,98</w:t>
            </w:r>
          </w:p>
        </w:tc>
        <w:tc>
          <w:tcPr>
            <w:tcW w:w="2153" w:type="dxa"/>
          </w:tcPr>
          <w:p w:rsidR="00481CC1" w:rsidRDefault="00F01A84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6458</w:t>
            </w:r>
          </w:p>
        </w:tc>
        <w:tc>
          <w:tcPr>
            <w:tcW w:w="1871" w:type="dxa"/>
          </w:tcPr>
          <w:p w:rsidR="00481CC1" w:rsidRDefault="00140B4D" w:rsidP="005C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4" w:type="dxa"/>
          </w:tcPr>
          <w:p w:rsidR="00481CC1" w:rsidRDefault="00140B4D" w:rsidP="005C076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42489,15234</w:t>
            </w:r>
          </w:p>
        </w:tc>
      </w:tr>
    </w:tbl>
    <w:p w:rsidR="00481CC1" w:rsidRDefault="00481CC1" w:rsidP="0048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планируется за время действия подпрограммы:</w:t>
      </w:r>
    </w:p>
    <w:p w:rsidR="00481CC1" w:rsidRDefault="00481CC1" w:rsidP="0048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CC1" w:rsidRPr="006A768C" w:rsidRDefault="00481CC1" w:rsidP="00481C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A76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6A768C">
        <w:rPr>
          <w:rFonts w:ascii="Times New Roman" w:hAnsi="Times New Roman" w:cs="Times New Roman"/>
          <w:sz w:val="28"/>
          <w:szCs w:val="28"/>
        </w:rPr>
        <w:t xml:space="preserve"> многоква</w:t>
      </w:r>
      <w:r>
        <w:rPr>
          <w:rFonts w:ascii="Times New Roman" w:hAnsi="Times New Roman" w:cs="Times New Roman"/>
          <w:sz w:val="28"/>
          <w:szCs w:val="28"/>
        </w:rPr>
        <w:t>ртирных домах -  отремонтировать</w:t>
      </w:r>
      <w:r w:rsidRPr="006A768C">
        <w:rPr>
          <w:rFonts w:ascii="Times New Roman" w:hAnsi="Times New Roman" w:cs="Times New Roman"/>
          <w:sz w:val="28"/>
          <w:szCs w:val="28"/>
        </w:rPr>
        <w:t xml:space="preserve"> крыши;</w:t>
      </w:r>
    </w:p>
    <w:p w:rsidR="00481CC1" w:rsidRPr="006A768C" w:rsidRDefault="00481CC1" w:rsidP="00481C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Pr="006A768C">
        <w:rPr>
          <w:rFonts w:ascii="Times New Roman" w:hAnsi="Times New Roman" w:cs="Times New Roman"/>
          <w:sz w:val="28"/>
          <w:szCs w:val="28"/>
        </w:rPr>
        <w:t xml:space="preserve"> многокв</w:t>
      </w:r>
      <w:r>
        <w:rPr>
          <w:rFonts w:ascii="Times New Roman" w:hAnsi="Times New Roman" w:cs="Times New Roman"/>
          <w:sz w:val="28"/>
          <w:szCs w:val="28"/>
        </w:rPr>
        <w:t>артирных домах – отремонтировать</w:t>
      </w:r>
      <w:r w:rsidRPr="006A768C">
        <w:rPr>
          <w:rFonts w:ascii="Times New Roman" w:hAnsi="Times New Roman" w:cs="Times New Roman"/>
          <w:sz w:val="28"/>
          <w:szCs w:val="28"/>
        </w:rPr>
        <w:t xml:space="preserve"> крыши и  внутридомовые инженерные системы;</w:t>
      </w:r>
    </w:p>
    <w:p w:rsidR="00481CC1" w:rsidRPr="006A768C" w:rsidRDefault="00481CC1" w:rsidP="00481C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A768C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768C">
        <w:rPr>
          <w:rFonts w:ascii="Times New Roman" w:hAnsi="Times New Roman" w:cs="Times New Roman"/>
          <w:sz w:val="28"/>
          <w:szCs w:val="28"/>
        </w:rPr>
        <w:t xml:space="preserve"> многоквартирных домах </w:t>
      </w:r>
      <w:r>
        <w:rPr>
          <w:rFonts w:ascii="Times New Roman" w:hAnsi="Times New Roman" w:cs="Times New Roman"/>
          <w:sz w:val="28"/>
          <w:szCs w:val="28"/>
        </w:rPr>
        <w:t xml:space="preserve"> - отремонтировать</w:t>
      </w:r>
      <w:r w:rsidRPr="006A768C">
        <w:rPr>
          <w:rFonts w:ascii="Times New Roman" w:hAnsi="Times New Roman" w:cs="Times New Roman"/>
          <w:sz w:val="28"/>
          <w:szCs w:val="28"/>
        </w:rPr>
        <w:t xml:space="preserve">  фасады;</w:t>
      </w:r>
    </w:p>
    <w:p w:rsidR="00481CC1" w:rsidRDefault="00481CC1" w:rsidP="00481CC1">
      <w:r w:rsidRPr="006A76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6A768C">
        <w:rPr>
          <w:rFonts w:ascii="Times New Roman" w:hAnsi="Times New Roman" w:cs="Times New Roman"/>
          <w:sz w:val="28"/>
          <w:szCs w:val="28"/>
        </w:rPr>
        <w:t xml:space="preserve"> многоква</w:t>
      </w:r>
      <w:r>
        <w:rPr>
          <w:rFonts w:ascii="Times New Roman" w:hAnsi="Times New Roman" w:cs="Times New Roman"/>
          <w:sz w:val="28"/>
          <w:szCs w:val="28"/>
        </w:rPr>
        <w:t>ртирных домах  - отремонтировать</w:t>
      </w:r>
      <w:r w:rsidRPr="006A768C">
        <w:rPr>
          <w:rFonts w:ascii="Times New Roman" w:hAnsi="Times New Roman" w:cs="Times New Roman"/>
          <w:sz w:val="28"/>
          <w:szCs w:val="28"/>
        </w:rPr>
        <w:t xml:space="preserve">  внутридомовые инженерные системы</w:t>
      </w:r>
    </w:p>
    <w:p w:rsidR="00481CC1" w:rsidRDefault="00481C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1CC1" w:rsidSect="00FA65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16" w:rsidRDefault="00C34916" w:rsidP="0047536D">
      <w:pPr>
        <w:spacing w:after="0" w:line="240" w:lineRule="auto"/>
      </w:pPr>
      <w:r>
        <w:separator/>
      </w:r>
    </w:p>
  </w:endnote>
  <w:endnote w:type="continuationSeparator" w:id="0">
    <w:p w:rsidR="00C34916" w:rsidRDefault="00C34916" w:rsidP="0047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16" w:rsidRDefault="00C34916" w:rsidP="0047536D">
      <w:pPr>
        <w:spacing w:after="0" w:line="240" w:lineRule="auto"/>
      </w:pPr>
      <w:r>
        <w:separator/>
      </w:r>
    </w:p>
  </w:footnote>
  <w:footnote w:type="continuationSeparator" w:id="0">
    <w:p w:rsidR="00C34916" w:rsidRDefault="00C34916" w:rsidP="0047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81C"/>
    <w:multiLevelType w:val="hybridMultilevel"/>
    <w:tmpl w:val="5EE6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C97"/>
    <w:rsid w:val="00005B90"/>
    <w:rsid w:val="000360C3"/>
    <w:rsid w:val="00057499"/>
    <w:rsid w:val="0008616E"/>
    <w:rsid w:val="00096E77"/>
    <w:rsid w:val="000A0B40"/>
    <w:rsid w:val="000A60C6"/>
    <w:rsid w:val="000A6820"/>
    <w:rsid w:val="000B233D"/>
    <w:rsid w:val="000B55B9"/>
    <w:rsid w:val="000C1978"/>
    <w:rsid w:val="000D2C79"/>
    <w:rsid w:val="000D63BE"/>
    <w:rsid w:val="000E53CB"/>
    <w:rsid w:val="00102D1D"/>
    <w:rsid w:val="00102F30"/>
    <w:rsid w:val="00105F59"/>
    <w:rsid w:val="00140B4D"/>
    <w:rsid w:val="001430F4"/>
    <w:rsid w:val="001760E1"/>
    <w:rsid w:val="001814B7"/>
    <w:rsid w:val="00181DF9"/>
    <w:rsid w:val="0018670F"/>
    <w:rsid w:val="00197315"/>
    <w:rsid w:val="0019775E"/>
    <w:rsid w:val="001B1182"/>
    <w:rsid w:val="001B6D7D"/>
    <w:rsid w:val="001C71DD"/>
    <w:rsid w:val="001E1401"/>
    <w:rsid w:val="001E2383"/>
    <w:rsid w:val="00211543"/>
    <w:rsid w:val="00222219"/>
    <w:rsid w:val="00226835"/>
    <w:rsid w:val="0024141A"/>
    <w:rsid w:val="002A2060"/>
    <w:rsid w:val="002A5E01"/>
    <w:rsid w:val="002E4ED0"/>
    <w:rsid w:val="003018B9"/>
    <w:rsid w:val="0030349B"/>
    <w:rsid w:val="00304CAF"/>
    <w:rsid w:val="003063A9"/>
    <w:rsid w:val="00340EF0"/>
    <w:rsid w:val="003575D6"/>
    <w:rsid w:val="00364506"/>
    <w:rsid w:val="00364646"/>
    <w:rsid w:val="0039375B"/>
    <w:rsid w:val="003A786E"/>
    <w:rsid w:val="003B72F6"/>
    <w:rsid w:val="003C3CC0"/>
    <w:rsid w:val="003D51CA"/>
    <w:rsid w:val="003D566B"/>
    <w:rsid w:val="003E291B"/>
    <w:rsid w:val="003E3F5C"/>
    <w:rsid w:val="003F3EFE"/>
    <w:rsid w:val="00403CF1"/>
    <w:rsid w:val="0042011A"/>
    <w:rsid w:val="00435822"/>
    <w:rsid w:val="004411AA"/>
    <w:rsid w:val="004519FB"/>
    <w:rsid w:val="00456F30"/>
    <w:rsid w:val="004651BE"/>
    <w:rsid w:val="004707AE"/>
    <w:rsid w:val="0047536D"/>
    <w:rsid w:val="004816BA"/>
    <w:rsid w:val="00481CC1"/>
    <w:rsid w:val="0049148C"/>
    <w:rsid w:val="004964D9"/>
    <w:rsid w:val="004C4B6F"/>
    <w:rsid w:val="004E0957"/>
    <w:rsid w:val="004F182F"/>
    <w:rsid w:val="004F2A7E"/>
    <w:rsid w:val="004F6EAA"/>
    <w:rsid w:val="00514C27"/>
    <w:rsid w:val="0052169B"/>
    <w:rsid w:val="00522592"/>
    <w:rsid w:val="005255CA"/>
    <w:rsid w:val="00544D09"/>
    <w:rsid w:val="00551659"/>
    <w:rsid w:val="00555E80"/>
    <w:rsid w:val="00575FBA"/>
    <w:rsid w:val="00584865"/>
    <w:rsid w:val="005C0764"/>
    <w:rsid w:val="005E45CC"/>
    <w:rsid w:val="005F0308"/>
    <w:rsid w:val="00610E92"/>
    <w:rsid w:val="00632933"/>
    <w:rsid w:val="00651A2C"/>
    <w:rsid w:val="00681A43"/>
    <w:rsid w:val="006834F5"/>
    <w:rsid w:val="00695C48"/>
    <w:rsid w:val="006A612A"/>
    <w:rsid w:val="006B56B1"/>
    <w:rsid w:val="006E187E"/>
    <w:rsid w:val="006F3FB6"/>
    <w:rsid w:val="00701BBE"/>
    <w:rsid w:val="00747FAC"/>
    <w:rsid w:val="00750007"/>
    <w:rsid w:val="00773820"/>
    <w:rsid w:val="00780271"/>
    <w:rsid w:val="00785065"/>
    <w:rsid w:val="00794C18"/>
    <w:rsid w:val="00797580"/>
    <w:rsid w:val="007A2EA9"/>
    <w:rsid w:val="007B19C6"/>
    <w:rsid w:val="007B77FF"/>
    <w:rsid w:val="007C4C34"/>
    <w:rsid w:val="007D1B72"/>
    <w:rsid w:val="007D5D7A"/>
    <w:rsid w:val="007D7C33"/>
    <w:rsid w:val="007E2C66"/>
    <w:rsid w:val="00801CF5"/>
    <w:rsid w:val="008110D3"/>
    <w:rsid w:val="00832913"/>
    <w:rsid w:val="00843B87"/>
    <w:rsid w:val="00873030"/>
    <w:rsid w:val="00884650"/>
    <w:rsid w:val="008B2D3B"/>
    <w:rsid w:val="008B49BB"/>
    <w:rsid w:val="008E6B57"/>
    <w:rsid w:val="009224DD"/>
    <w:rsid w:val="00936D2B"/>
    <w:rsid w:val="00986C6A"/>
    <w:rsid w:val="009943F2"/>
    <w:rsid w:val="0099650E"/>
    <w:rsid w:val="009B1836"/>
    <w:rsid w:val="009C1169"/>
    <w:rsid w:val="009C2F46"/>
    <w:rsid w:val="009C4EBA"/>
    <w:rsid w:val="009D0BD7"/>
    <w:rsid w:val="00A13B38"/>
    <w:rsid w:val="00A23D0F"/>
    <w:rsid w:val="00A349C0"/>
    <w:rsid w:val="00A3526C"/>
    <w:rsid w:val="00A37C44"/>
    <w:rsid w:val="00A54818"/>
    <w:rsid w:val="00A67731"/>
    <w:rsid w:val="00A7031D"/>
    <w:rsid w:val="00AA26AE"/>
    <w:rsid w:val="00AB471A"/>
    <w:rsid w:val="00AB566C"/>
    <w:rsid w:val="00AB7795"/>
    <w:rsid w:val="00AC72ED"/>
    <w:rsid w:val="00AE69C8"/>
    <w:rsid w:val="00AF692F"/>
    <w:rsid w:val="00B11F5E"/>
    <w:rsid w:val="00B248EE"/>
    <w:rsid w:val="00B25D60"/>
    <w:rsid w:val="00B53402"/>
    <w:rsid w:val="00B64E63"/>
    <w:rsid w:val="00B67ACC"/>
    <w:rsid w:val="00B7574C"/>
    <w:rsid w:val="00B819C2"/>
    <w:rsid w:val="00BD6613"/>
    <w:rsid w:val="00BD7343"/>
    <w:rsid w:val="00BE7992"/>
    <w:rsid w:val="00C01A69"/>
    <w:rsid w:val="00C1694A"/>
    <w:rsid w:val="00C30C7A"/>
    <w:rsid w:val="00C3386E"/>
    <w:rsid w:val="00C34916"/>
    <w:rsid w:val="00C61E2F"/>
    <w:rsid w:val="00C65910"/>
    <w:rsid w:val="00C729D5"/>
    <w:rsid w:val="00C9137A"/>
    <w:rsid w:val="00CA1ECF"/>
    <w:rsid w:val="00CA3B44"/>
    <w:rsid w:val="00CD4A70"/>
    <w:rsid w:val="00CE7C6C"/>
    <w:rsid w:val="00D270E2"/>
    <w:rsid w:val="00D3133D"/>
    <w:rsid w:val="00D427B7"/>
    <w:rsid w:val="00D64C06"/>
    <w:rsid w:val="00D73C97"/>
    <w:rsid w:val="00D8493D"/>
    <w:rsid w:val="00D852BF"/>
    <w:rsid w:val="00D93B28"/>
    <w:rsid w:val="00D95B66"/>
    <w:rsid w:val="00DA6257"/>
    <w:rsid w:val="00DB5568"/>
    <w:rsid w:val="00DB7B00"/>
    <w:rsid w:val="00DD0FEE"/>
    <w:rsid w:val="00DD1665"/>
    <w:rsid w:val="00DD7CA9"/>
    <w:rsid w:val="00E47B6A"/>
    <w:rsid w:val="00E53ED7"/>
    <w:rsid w:val="00E55C5B"/>
    <w:rsid w:val="00E56D50"/>
    <w:rsid w:val="00E7067C"/>
    <w:rsid w:val="00E71D9A"/>
    <w:rsid w:val="00E721B8"/>
    <w:rsid w:val="00E81630"/>
    <w:rsid w:val="00E828BA"/>
    <w:rsid w:val="00E83639"/>
    <w:rsid w:val="00EB184C"/>
    <w:rsid w:val="00ED2C59"/>
    <w:rsid w:val="00EE08F9"/>
    <w:rsid w:val="00EF3647"/>
    <w:rsid w:val="00F010FA"/>
    <w:rsid w:val="00F01A84"/>
    <w:rsid w:val="00F171D4"/>
    <w:rsid w:val="00F37A33"/>
    <w:rsid w:val="00F6202D"/>
    <w:rsid w:val="00F675E3"/>
    <w:rsid w:val="00FA65D1"/>
    <w:rsid w:val="00FB17C4"/>
    <w:rsid w:val="00FC16A6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9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3C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73C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D73C9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Нижний колонтитул Знак"/>
    <w:link w:val="a3"/>
    <w:uiPriority w:val="99"/>
    <w:locked/>
    <w:rsid w:val="00D73C97"/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BD7343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BD7343"/>
    <w:rPr>
      <w:rFonts w:ascii="Tahoma" w:hAnsi="Tahoma" w:cs="Tahoma"/>
      <w:sz w:val="16"/>
      <w:szCs w:val="16"/>
    </w:rPr>
  </w:style>
  <w:style w:type="character" w:styleId="a7">
    <w:name w:val="page number"/>
    <w:basedOn w:val="a0"/>
    <w:uiPriority w:val="99"/>
    <w:rsid w:val="00A67731"/>
  </w:style>
  <w:style w:type="paragraph" w:styleId="a8">
    <w:name w:val="header"/>
    <w:basedOn w:val="a"/>
    <w:link w:val="a9"/>
    <w:uiPriority w:val="99"/>
    <w:semiHidden/>
    <w:unhideWhenUsed/>
    <w:rsid w:val="00FA65D1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semiHidden/>
    <w:rsid w:val="00FA65D1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FCE9B77701A9325510AA539851368AFC48C351E3F7DEFB175BD02CBE503E2C59FA6A51EA0CD94A53k4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FFA068C19AC04F764F5D27793963B14B3D80E269D65B0FDB1F7D2C71086CFC34CADE7E24FE94F533F291Z8Y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FFA068C19AC04F764F432A6F553DBB4833D8EA67D3565186402671260166AB7385873F64ZFY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FCE9B77701A9325510AA539851368AFC48C351E3F7DEFB175BD02CBE503E2C59FA6A51EA0CD94A53k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634AC-F040-4781-8332-E3C61CD1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17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GKMX</Company>
  <LinksUpToDate>false</LinksUpToDate>
  <CharactersWithSpaces>28822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2015-04-01T05:42:00Z</cp:lastPrinted>
  <dcterms:created xsi:type="dcterms:W3CDTF">2015-03-20T05:46:00Z</dcterms:created>
  <dcterms:modified xsi:type="dcterms:W3CDTF">2017-02-01T12:46:00Z</dcterms:modified>
</cp:coreProperties>
</file>